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1B693D" w:rsidRDefault="00CD36CF" w:rsidP="002010BF">
      <w:pPr>
        <w:pStyle w:val="TitlePageOrigin"/>
      </w:pPr>
      <w:r w:rsidRPr="001B693D">
        <w:t>WEST virginia legislature</w:t>
      </w:r>
    </w:p>
    <w:p w14:paraId="68CCA41C" w14:textId="38537A1D" w:rsidR="00CD36CF" w:rsidRPr="001B693D" w:rsidRDefault="00CD36CF" w:rsidP="002010BF">
      <w:pPr>
        <w:pStyle w:val="TitlePageSession"/>
      </w:pPr>
      <w:r w:rsidRPr="001B693D">
        <w:t>20</w:t>
      </w:r>
      <w:r w:rsidR="00081D6D" w:rsidRPr="001B693D">
        <w:t>2</w:t>
      </w:r>
      <w:r w:rsidR="007D6D39" w:rsidRPr="001B693D">
        <w:t>2</w:t>
      </w:r>
      <w:r w:rsidRPr="001B693D">
        <w:t xml:space="preserve"> regular session</w:t>
      </w:r>
    </w:p>
    <w:p w14:paraId="758081F9" w14:textId="0D82E52E" w:rsidR="001B693D" w:rsidRPr="001B693D" w:rsidRDefault="001B693D" w:rsidP="002010BF">
      <w:pPr>
        <w:pStyle w:val="TitlePageSession"/>
      </w:pPr>
      <w:r w:rsidRPr="001B693D">
        <w:t>E</w:t>
      </w:r>
      <w:r>
        <w:t>N</w:t>
      </w:r>
      <w:r w:rsidRPr="001B693D">
        <w:t>ROLLED</w:t>
      </w:r>
    </w:p>
    <w:p w14:paraId="0DC0BD16" w14:textId="77777777" w:rsidR="00CD36CF" w:rsidRPr="001B693D" w:rsidRDefault="004D48E2" w:rsidP="002010BF">
      <w:pPr>
        <w:pStyle w:val="TitlePageBillPrefix"/>
      </w:pPr>
      <w:sdt>
        <w:sdtPr>
          <w:tag w:val="IntroDate"/>
          <w:id w:val="-1236936958"/>
          <w:placeholder>
            <w:docPart w:val="38E55B98C6584CCF9C85CBA53F68462E"/>
          </w:placeholder>
          <w:text/>
        </w:sdtPr>
        <w:sdtEndPr/>
        <w:sdtContent>
          <w:r w:rsidR="00AC3B58" w:rsidRPr="001B693D">
            <w:t>Committee Substitute</w:t>
          </w:r>
        </w:sdtContent>
      </w:sdt>
    </w:p>
    <w:p w14:paraId="3622B296" w14:textId="77777777" w:rsidR="00AC3B58" w:rsidRPr="001B693D" w:rsidRDefault="00AC3B58" w:rsidP="002010BF">
      <w:pPr>
        <w:pStyle w:val="TitlePageBillPrefix"/>
      </w:pPr>
      <w:r w:rsidRPr="001B693D">
        <w:t>for</w:t>
      </w:r>
    </w:p>
    <w:p w14:paraId="6C29E3CE" w14:textId="0A41C7D3" w:rsidR="00CD36CF" w:rsidRPr="001B693D" w:rsidRDefault="004D48E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47E5A" w:rsidRPr="001B693D">
            <w:t>House</w:t>
          </w:r>
        </w:sdtContent>
      </w:sdt>
      <w:r w:rsidR="00303684" w:rsidRPr="001B693D">
        <w:t xml:space="preserve"> </w:t>
      </w:r>
      <w:r w:rsidR="00CD36CF" w:rsidRPr="001B693D">
        <w:t xml:space="preserve">Bill </w:t>
      </w:r>
      <w:sdt>
        <w:sdtPr>
          <w:tag w:val="BNum"/>
          <w:id w:val="1645317809"/>
          <w:lock w:val="sdtLocked"/>
          <w:placeholder>
            <w:docPart w:val="2F6EC695F8BA4A069FC220B727B83F05"/>
          </w:placeholder>
          <w:text/>
        </w:sdtPr>
        <w:sdtEndPr/>
        <w:sdtContent>
          <w:r w:rsidR="00847E5A" w:rsidRPr="001B693D">
            <w:t>4067</w:t>
          </w:r>
        </w:sdtContent>
      </w:sdt>
    </w:p>
    <w:p w14:paraId="0D6EF227" w14:textId="4AA1CDAC" w:rsidR="00847E5A" w:rsidRPr="001B693D" w:rsidRDefault="00847E5A" w:rsidP="002010BF">
      <w:pPr>
        <w:pStyle w:val="References"/>
        <w:rPr>
          <w:smallCaps/>
        </w:rPr>
      </w:pPr>
      <w:r w:rsidRPr="001B693D">
        <w:rPr>
          <w:smallCaps/>
        </w:rPr>
        <w:t>By Delegate</w:t>
      </w:r>
      <w:r w:rsidR="001B693D" w:rsidRPr="001B693D">
        <w:rPr>
          <w:smallCaps/>
        </w:rPr>
        <w:t>s</w:t>
      </w:r>
      <w:r w:rsidRPr="001B693D">
        <w:rPr>
          <w:smallCaps/>
        </w:rPr>
        <w:t xml:space="preserve"> Summers</w:t>
      </w:r>
      <w:r w:rsidR="001B693D" w:rsidRPr="001B693D">
        <w:rPr>
          <w:smallCaps/>
        </w:rPr>
        <w:t xml:space="preserve">, </w:t>
      </w:r>
      <w:proofErr w:type="gramStart"/>
      <w:r w:rsidR="001B693D" w:rsidRPr="001B693D">
        <w:rPr>
          <w:smallCaps/>
        </w:rPr>
        <w:t>Steele</w:t>
      </w:r>
      <w:proofErr w:type="gramEnd"/>
      <w:r w:rsidR="001B693D" w:rsidRPr="001B693D">
        <w:rPr>
          <w:smallCaps/>
        </w:rPr>
        <w:t xml:space="preserve"> and Foster</w:t>
      </w:r>
    </w:p>
    <w:p w14:paraId="21F66366" w14:textId="1B1E3B15" w:rsidR="00471247" w:rsidRPr="001B693D" w:rsidRDefault="00CD36CF" w:rsidP="00847E5A">
      <w:pPr>
        <w:pStyle w:val="References"/>
        <w:sectPr w:rsidR="00471247" w:rsidRPr="001B693D" w:rsidSect="00847E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B693D">
        <w:t>[</w:t>
      </w:r>
      <w:sdt>
        <w:sdtPr>
          <w:tag w:val="References"/>
          <w:id w:val="-1043047873"/>
          <w:placeholder>
            <w:docPart w:val="EB79CF24A9C34DC4B671B0F2D2F2B47E"/>
          </w:placeholder>
          <w:text w:multiLine="1"/>
        </w:sdtPr>
        <w:sdtEndPr/>
        <w:sdtContent>
          <w:r w:rsidR="001B693D" w:rsidRPr="001B693D">
            <w:t>Passed February 10, 2022; in effect from passage.</w:t>
          </w:r>
        </w:sdtContent>
      </w:sdt>
      <w:r w:rsidRPr="001B693D">
        <w:t>]</w:t>
      </w:r>
    </w:p>
    <w:p w14:paraId="3B4B76BA" w14:textId="2BACDF11" w:rsidR="00847E5A" w:rsidRPr="001B693D" w:rsidRDefault="00847E5A" w:rsidP="00847E5A">
      <w:pPr>
        <w:pStyle w:val="References"/>
      </w:pPr>
    </w:p>
    <w:p w14:paraId="56776DC5" w14:textId="0841F95A" w:rsidR="00847E5A" w:rsidRPr="001B693D" w:rsidRDefault="001B693D" w:rsidP="006E4C3B">
      <w:pPr>
        <w:pStyle w:val="TitleSection"/>
        <w:rPr>
          <w:color w:val="auto"/>
        </w:rPr>
      </w:pPr>
      <w:r w:rsidRPr="001B693D">
        <w:rPr>
          <w:rFonts w:cs="Arial"/>
        </w:rPr>
        <w:lastRenderedPageBreak/>
        <w:t>AN ACT to repeal §8-13C-13 of the Code of West Virginia, 1931, as amended; to repeal §16-1-21 of said code; to repeal §16-41-6 of said code; to repeal §18-10L-7 of said code; to repeal §22A-6-11, §22A-6-12, and §22A-6-13 of said code; to repeal §29-6-7a of said code; to repeal §33-25A-35 of said code; to amend and reenact §5-11B-7 of said code; to amend and reenact §5A-6C-4 of said code; to amend and reenact §9-4A-2b of said code; to amend and reenact §9-4C-7 of said code; to amend and reenact §12-7-12 of said code; to amend and reenact §14-2A-21 of said code; to amend and reenact §16-3B-4 of said code; to amend and reenact §16-33-6 of said code; to amend and reenact §31-15A-17b of said code; to amend and reenact §31-18-24 of said code; and to amend and reenact §49-2-604 of said code, all relating to making certain reports electronic rather than in printed hard-copy form; providing for hard copies to be furnished upon request; and eliminating the reporting requirement entirely for those agencies whose reports are no longer needed or whose deadlines have passed with reports already submitted.</w:t>
      </w:r>
    </w:p>
    <w:p w14:paraId="3EBAFE07" w14:textId="77777777" w:rsidR="00847E5A" w:rsidRPr="001B693D" w:rsidRDefault="00847E5A" w:rsidP="006E4C3B">
      <w:pPr>
        <w:pStyle w:val="EnactingClause"/>
        <w:rPr>
          <w:color w:val="auto"/>
        </w:rPr>
        <w:sectPr w:rsidR="00847E5A" w:rsidRPr="001B693D" w:rsidSect="00471247">
          <w:pgSz w:w="12240" w:h="15840" w:code="1"/>
          <w:pgMar w:top="1440" w:right="1440" w:bottom="1440" w:left="1440" w:header="720" w:footer="720" w:gutter="0"/>
          <w:lnNumType w:countBy="1" w:restart="newSection"/>
          <w:pgNumType w:start="0"/>
          <w:cols w:space="720"/>
          <w:titlePg/>
          <w:docGrid w:linePitch="360"/>
        </w:sectPr>
      </w:pPr>
      <w:r w:rsidRPr="001B693D">
        <w:rPr>
          <w:color w:val="auto"/>
        </w:rPr>
        <w:t>Be it enacted by the Legislature of West Virginia:</w:t>
      </w:r>
    </w:p>
    <w:p w14:paraId="3E64D206" w14:textId="77777777" w:rsidR="001B693D" w:rsidRPr="001B693D" w:rsidRDefault="001B693D" w:rsidP="006E4C3B">
      <w:pPr>
        <w:pStyle w:val="ChapterHeading"/>
        <w:widowControl/>
      </w:pPr>
      <w:r w:rsidRPr="001B693D">
        <w:t>CHAPTER 5. GENERAL POWERS AND AUTHORITY OF THE GOVERNOR, SECRETARY OF STATE, AND ATTORNEY GENERAL; BOARD OF PUBLIC WORKS; MISCELLANEOUS AGENCIES, COMMISSIONS, OFFICES, PROGRAMS, ETC.</w:t>
      </w:r>
    </w:p>
    <w:p w14:paraId="3CDA073F" w14:textId="77777777" w:rsidR="001B693D" w:rsidRPr="001B693D" w:rsidRDefault="001B693D" w:rsidP="006E4C3B">
      <w:pPr>
        <w:pStyle w:val="ArticleHeading"/>
        <w:widowControl/>
      </w:pPr>
      <w:r w:rsidRPr="001B693D">
        <w:t>ARTICLE 11B. Pregnant workers fairness act.</w:t>
      </w:r>
    </w:p>
    <w:p w14:paraId="1354D847" w14:textId="77777777" w:rsidR="001B693D" w:rsidRPr="001B693D" w:rsidRDefault="001B693D" w:rsidP="006E4C3B">
      <w:pPr>
        <w:ind w:left="720" w:hanging="720"/>
        <w:jc w:val="both"/>
        <w:outlineLvl w:val="3"/>
        <w:rPr>
          <w:rFonts w:cs="Arial"/>
          <w:b/>
          <w:color w:val="000000"/>
        </w:rPr>
        <w:sectPr w:rsidR="001B693D" w:rsidRPr="001B693D" w:rsidSect="00EE04E2">
          <w:footerReference w:type="default" r:id="rId12"/>
          <w:type w:val="continuous"/>
          <w:pgSz w:w="12240" w:h="15840"/>
          <w:pgMar w:top="1440" w:right="1440" w:bottom="1440" w:left="1440" w:header="720" w:footer="720" w:gutter="0"/>
          <w:lnNumType w:countBy="1" w:restart="newSection"/>
          <w:cols w:space="720"/>
          <w:noEndnote/>
          <w:docGrid w:linePitch="326"/>
        </w:sectPr>
      </w:pPr>
    </w:p>
    <w:p w14:paraId="38F9CDD9" w14:textId="77777777" w:rsidR="001B693D" w:rsidRPr="001B693D" w:rsidRDefault="001B693D" w:rsidP="006E4C3B">
      <w:pPr>
        <w:pStyle w:val="SectionHeading"/>
        <w:widowControl/>
      </w:pPr>
      <w:r w:rsidRPr="001B693D">
        <w:t>§5-11B-7. Reports.</w:t>
      </w:r>
    </w:p>
    <w:p w14:paraId="625ABE32" w14:textId="71CD664C" w:rsidR="001B693D" w:rsidRPr="001B693D" w:rsidRDefault="001B693D" w:rsidP="00BB5737">
      <w:pPr>
        <w:pStyle w:val="SectionBody"/>
        <w:widowControl/>
        <w:spacing w:line="456" w:lineRule="auto"/>
      </w:pPr>
      <w:r w:rsidRPr="001B693D">
        <w:rPr>
          <w:rFonts w:cs="Times New Roman"/>
        </w:rPr>
        <w:t>The Commission shall on October 1 of each year report to the Joint Committee on Government and Finance on the number of complaints filed under this article during the previous year and their resolution.</w:t>
      </w:r>
      <w:r w:rsidRPr="001B693D">
        <w:t xml:space="preserve"> The report shall be transmitted to the members of the committee electronically. Further, the report shall be provided to the legislative librarian to be posted to the legislative website. No hard copy of the report shall be issued; however, a member shall be provided a hard copy upon request.</w:t>
      </w:r>
    </w:p>
    <w:p w14:paraId="4E3F5F20" w14:textId="77777777" w:rsidR="001B693D" w:rsidRPr="001B693D" w:rsidRDefault="001B693D" w:rsidP="00BB5737">
      <w:pPr>
        <w:pStyle w:val="ChapterHeading"/>
        <w:widowControl/>
        <w:spacing w:line="456" w:lineRule="auto"/>
      </w:pPr>
      <w:r w:rsidRPr="001B693D">
        <w:t>CHAPTER 5A. DEPARTMENT OF ADMINISTRATION.</w:t>
      </w:r>
    </w:p>
    <w:p w14:paraId="70313C18" w14:textId="77777777" w:rsidR="001B693D" w:rsidRPr="001B693D" w:rsidRDefault="001B693D" w:rsidP="00BB5737">
      <w:pPr>
        <w:pStyle w:val="ArticleHeading"/>
        <w:widowControl/>
        <w:spacing w:line="456" w:lineRule="auto"/>
      </w:pPr>
      <w:r w:rsidRPr="001B693D">
        <w:t>ARTICLE 6C. WEST VIRGINIA CYBER INCIDENT REPORTING.</w:t>
      </w:r>
    </w:p>
    <w:p w14:paraId="2BDB4D05" w14:textId="77777777" w:rsidR="001B693D" w:rsidRPr="001B693D" w:rsidRDefault="001B693D" w:rsidP="00BB5737">
      <w:pPr>
        <w:pStyle w:val="SectionHeading"/>
        <w:widowControl/>
        <w:spacing w:line="456" w:lineRule="auto"/>
      </w:pPr>
      <w:r w:rsidRPr="001B693D">
        <w:t>§5A-6C-4. Cybersecurity Office annual report.</w:t>
      </w:r>
    </w:p>
    <w:p w14:paraId="17268CAA" w14:textId="77777777" w:rsidR="001B693D" w:rsidRPr="001B693D" w:rsidRDefault="001B693D" w:rsidP="00BB5737">
      <w:pPr>
        <w:pStyle w:val="SectionBody"/>
        <w:widowControl/>
        <w:spacing w:line="456" w:lineRule="auto"/>
        <w:sectPr w:rsidR="001B693D" w:rsidRPr="001B693D" w:rsidSect="00DD58B3">
          <w:type w:val="continuous"/>
          <w:pgSz w:w="12240" w:h="15840"/>
          <w:pgMar w:top="1440" w:right="1440" w:bottom="1440" w:left="1440" w:header="720" w:footer="720" w:gutter="0"/>
          <w:lnNumType w:countBy="1" w:restart="newSection"/>
          <w:cols w:space="720"/>
          <w:noEndnote/>
          <w:docGrid w:linePitch="326"/>
        </w:sectPr>
      </w:pPr>
    </w:p>
    <w:p w14:paraId="3CEF130D" w14:textId="77777777" w:rsidR="001B693D" w:rsidRPr="001B693D" w:rsidRDefault="001B693D" w:rsidP="00BB5737">
      <w:pPr>
        <w:pStyle w:val="SectionBody"/>
        <w:widowControl/>
        <w:spacing w:line="456" w:lineRule="auto"/>
      </w:pPr>
      <w:r w:rsidRPr="001B693D">
        <w:t>(a)</w:t>
      </w:r>
      <w:r w:rsidRPr="001B693D">
        <w:rPr>
          <w:bCs/>
        </w:rPr>
        <w:t xml:space="preserve"> </w:t>
      </w:r>
      <w:r w:rsidRPr="001B693D">
        <w:t>On or before December 31</w:t>
      </w:r>
      <w:r w:rsidRPr="001B693D">
        <w:rPr>
          <w:vertAlign w:val="superscript"/>
        </w:rPr>
        <w:t xml:space="preserve"> </w:t>
      </w:r>
      <w:r w:rsidRPr="001B693D">
        <w:t>of each year, and when requested by the Legislature, the Cybersecurity Office shall provide a report to the Joint Committee on Government and Finance containing the number and nature of incidents reported to it during the preceding calendar year. The report shall be transmitted to the members of the committee electronically and shall be sent to the legislative librarian to be posted on the legislative website. No hard copy of the report shall be issued; however, a member shall be provided a hard copy upon request.</w:t>
      </w:r>
    </w:p>
    <w:p w14:paraId="3ABAA387" w14:textId="77777777" w:rsidR="001B693D" w:rsidRPr="001B693D" w:rsidRDefault="001B693D" w:rsidP="00BB5737">
      <w:pPr>
        <w:pStyle w:val="SectionBody"/>
        <w:widowControl/>
        <w:spacing w:line="456" w:lineRule="auto"/>
      </w:pPr>
      <w:r w:rsidRPr="001B693D">
        <w:t>(b) The Cybersecurity Office shall also make recommendations, if any, on security standards or mitigation that should be adopted.</w:t>
      </w:r>
    </w:p>
    <w:p w14:paraId="252048A9" w14:textId="77777777" w:rsidR="001B693D" w:rsidRPr="001B693D" w:rsidRDefault="001B693D" w:rsidP="00BB5737">
      <w:pPr>
        <w:pStyle w:val="SectionBody"/>
        <w:widowControl/>
        <w:spacing w:line="456" w:lineRule="auto"/>
        <w:rPr>
          <w:rFonts w:cs="Times New Roman"/>
        </w:rPr>
        <w:sectPr w:rsidR="001B693D" w:rsidRPr="001B693D" w:rsidSect="00DD58B3">
          <w:footerReference w:type="default" r:id="rId13"/>
          <w:type w:val="continuous"/>
          <w:pgSz w:w="12240" w:h="15840"/>
          <w:pgMar w:top="1440" w:right="1440" w:bottom="1440" w:left="1440" w:header="720" w:footer="720" w:gutter="0"/>
          <w:lnNumType w:countBy="1" w:restart="newSection"/>
          <w:cols w:space="720"/>
          <w:noEndnote/>
          <w:docGrid w:linePitch="326"/>
        </w:sectPr>
      </w:pPr>
    </w:p>
    <w:p w14:paraId="62905455" w14:textId="77777777" w:rsidR="001B693D" w:rsidRPr="001B693D" w:rsidRDefault="001B693D" w:rsidP="00BB5737">
      <w:pPr>
        <w:pStyle w:val="ChapterHeading"/>
        <w:widowControl/>
        <w:spacing w:line="456" w:lineRule="auto"/>
      </w:pPr>
      <w:r w:rsidRPr="001B693D">
        <w:t>CHAPTER 8. MUNICIPAL CORPORATIONS.</w:t>
      </w:r>
    </w:p>
    <w:p w14:paraId="56003205" w14:textId="77777777" w:rsidR="001B693D" w:rsidRPr="001B693D" w:rsidRDefault="001B693D" w:rsidP="00BB5737">
      <w:pPr>
        <w:pStyle w:val="ArticleHeading"/>
        <w:widowControl/>
        <w:spacing w:line="456" w:lineRule="auto"/>
      </w:pPr>
      <w:r w:rsidRPr="001B693D">
        <w:t>ARTICLE 13C. MUNICIPAL TAX IN LIEU OF BUSINESS AND OCCUPATION TAX; AND MUNICIPAL TAXES APPLICABLE TO PENSION FUNDS; ADDITIONAL AUTHORITIES RELATING TO PENSIONS AND BOND ISSUANCE.</w:t>
      </w:r>
    </w:p>
    <w:p w14:paraId="608BCE4B" w14:textId="77777777" w:rsidR="001B693D" w:rsidRPr="001B693D" w:rsidRDefault="001B693D" w:rsidP="00BB5737">
      <w:pPr>
        <w:pStyle w:val="SectionHeading"/>
        <w:widowControl/>
        <w:spacing w:line="456" w:lineRule="auto"/>
        <w:sectPr w:rsidR="001B693D" w:rsidRPr="001B693D" w:rsidSect="00DD58B3">
          <w:footerReference w:type="default" r:id="rId14"/>
          <w:type w:val="continuous"/>
          <w:pgSz w:w="12240" w:h="15840"/>
          <w:pgMar w:top="1440" w:right="1440" w:bottom="1440" w:left="1440" w:header="720" w:footer="720" w:gutter="0"/>
          <w:lnNumType w:countBy="1" w:restart="newSection"/>
          <w:cols w:space="720"/>
          <w:noEndnote/>
          <w:docGrid w:linePitch="326"/>
        </w:sectPr>
      </w:pPr>
      <w:r w:rsidRPr="001B693D">
        <w:t>§8-13C-13. Study.</w:t>
      </w:r>
    </w:p>
    <w:p w14:paraId="6E760356" w14:textId="77777777" w:rsidR="001B693D" w:rsidRPr="001B693D" w:rsidRDefault="001B693D" w:rsidP="00BB5737">
      <w:pPr>
        <w:pStyle w:val="SectionBody"/>
        <w:widowControl/>
        <w:spacing w:line="456" w:lineRule="auto"/>
      </w:pPr>
      <w:r w:rsidRPr="001B693D">
        <w:t>[Repealed.]</w:t>
      </w:r>
    </w:p>
    <w:p w14:paraId="406AF041" w14:textId="77777777" w:rsidR="001B693D" w:rsidRPr="001B693D" w:rsidRDefault="001B693D" w:rsidP="00BB5737">
      <w:pPr>
        <w:pStyle w:val="ChapterHeading"/>
        <w:widowControl/>
        <w:spacing w:line="456" w:lineRule="auto"/>
      </w:pPr>
      <w:r w:rsidRPr="001B693D">
        <w:t>CHAPTER 9. HUMAN SERVICES</w:t>
      </w:r>
    </w:p>
    <w:p w14:paraId="618FCABF" w14:textId="77777777" w:rsidR="001B693D" w:rsidRPr="001B693D" w:rsidRDefault="001B693D" w:rsidP="00BB5737">
      <w:pPr>
        <w:pStyle w:val="ArticleHeading"/>
        <w:widowControl/>
        <w:spacing w:line="456" w:lineRule="auto"/>
      </w:pPr>
      <w:r w:rsidRPr="001B693D">
        <w:t>ARTICLE 4a. MEDICAID UNCOMPENSATED CARE FUND.</w:t>
      </w:r>
    </w:p>
    <w:p w14:paraId="6461F91F" w14:textId="77777777" w:rsidR="001B693D" w:rsidRPr="001B693D" w:rsidRDefault="001B693D" w:rsidP="00BB5737">
      <w:pPr>
        <w:pStyle w:val="SectionHeading"/>
        <w:widowControl/>
        <w:spacing w:line="456" w:lineRule="auto"/>
      </w:pPr>
      <w:r w:rsidRPr="001B693D">
        <w:t>§9-4A-2b. Expansion of coverage to children and terminally ill.</w:t>
      </w:r>
    </w:p>
    <w:p w14:paraId="1D9EFE25" w14:textId="77777777" w:rsidR="001B693D" w:rsidRPr="001B693D" w:rsidRDefault="001B693D" w:rsidP="006E4C3B">
      <w:pPr>
        <w:rPr>
          <w:rFonts w:eastAsia="Calibri"/>
          <w:b/>
          <w:color w:val="000000"/>
        </w:rPr>
        <w:sectPr w:rsidR="001B693D" w:rsidRPr="001B693D" w:rsidSect="002F0D87">
          <w:type w:val="continuous"/>
          <w:pgSz w:w="12240" w:h="15840"/>
          <w:pgMar w:top="1440" w:right="1440" w:bottom="1440" w:left="1440" w:header="720" w:footer="720" w:gutter="0"/>
          <w:lnNumType w:countBy="1" w:restart="newSection"/>
          <w:pgNumType w:start="0"/>
          <w:cols w:space="720"/>
        </w:sectPr>
      </w:pPr>
    </w:p>
    <w:p w14:paraId="778889C9" w14:textId="77777777" w:rsidR="001B693D" w:rsidRPr="001B693D" w:rsidRDefault="001B693D" w:rsidP="006E4C3B">
      <w:pPr>
        <w:pStyle w:val="SectionBody"/>
        <w:widowControl/>
      </w:pPr>
      <w:r w:rsidRPr="001B693D">
        <w:t>(a) It is the intent of the Legislature that steps be taken to expand coverage to children and the terminally ill and to pay for this coverage by fully utilizing federal funds. To achieve this intention, the Department of Health and Human Resources shall undertake the following:</w:t>
      </w:r>
    </w:p>
    <w:p w14:paraId="4C1AD4A3" w14:textId="77777777" w:rsidR="001B693D" w:rsidRPr="001B693D" w:rsidRDefault="001B693D" w:rsidP="006E4C3B">
      <w:pPr>
        <w:pStyle w:val="SectionBody"/>
        <w:widowControl/>
      </w:pPr>
      <w:r w:rsidRPr="001B693D">
        <w:t>(1) The department shall provide a streamlined application form, which shall be no longer than two pages, for all families applying for medical coverage for children under any of the programs set forth in this section; and</w:t>
      </w:r>
    </w:p>
    <w:p w14:paraId="3C5C4B5B" w14:textId="6FDA715C" w:rsidR="001B693D" w:rsidRPr="001B693D" w:rsidRDefault="001B693D" w:rsidP="006E4C3B">
      <w:pPr>
        <w:pStyle w:val="SectionBody"/>
        <w:widowControl/>
      </w:pPr>
      <w:r w:rsidRPr="001B693D">
        <w:t xml:space="preserve">(2) The department shall provide the option of hospice care to terminally ill West Virginians who otherwise qualify for Medicaid. </w:t>
      </w:r>
    </w:p>
    <w:p w14:paraId="3BC3A93E" w14:textId="2A3BCB16" w:rsidR="001B693D" w:rsidRPr="001B693D" w:rsidRDefault="001B693D" w:rsidP="006E4C3B">
      <w:pPr>
        <w:pStyle w:val="SectionBody"/>
        <w:widowControl/>
      </w:pPr>
      <w:r w:rsidRPr="001B693D">
        <w:t xml:space="preserve">(3) The department shall accelerate the Medicaid option for coverage of Medicaid to all West Virginia children whose family income is below one hundred percent of the federal poverty guideline. </w:t>
      </w:r>
    </w:p>
    <w:p w14:paraId="5C40786D" w14:textId="77777777" w:rsidR="001B693D" w:rsidRPr="001B693D" w:rsidRDefault="001B693D" w:rsidP="006E4C3B">
      <w:pPr>
        <w:pStyle w:val="SectionBody"/>
        <w:widowControl/>
      </w:pPr>
      <w:r w:rsidRPr="001B693D">
        <w:t xml:space="preserve"> (b) Notwithstanding the provisions of §9-4A-2a of this code, the accruing interest in the medical services trust fund may be utilized to pay for the programs specified in subsection (a) of this section: </w:t>
      </w:r>
      <w:r w:rsidRPr="004A376A">
        <w:rPr>
          <w:i/>
          <w:iCs/>
        </w:rPr>
        <w:t>Provided</w:t>
      </w:r>
      <w:r w:rsidRPr="001B693D">
        <w:rPr>
          <w:i/>
          <w:iCs/>
        </w:rPr>
        <w:t>,</w:t>
      </w:r>
      <w:r w:rsidRPr="001B693D">
        <w:t xml:space="preserve"> That to the extent the accrued interest is not sufficient to fully fund the specified programs, the disproportionate share hospital funds paid into the medical services trust fund after June 30, 1994, may be applied to cover the cost of the specified programs.</w:t>
      </w:r>
    </w:p>
    <w:p w14:paraId="3058E3B0" w14:textId="77777777" w:rsidR="001B693D" w:rsidRPr="001B693D" w:rsidRDefault="001B693D" w:rsidP="006E4C3B">
      <w:pPr>
        <w:pStyle w:val="SectionBody"/>
        <w:widowControl/>
      </w:pPr>
      <w:r w:rsidRPr="001B693D">
        <w:t xml:space="preserve">(c) Annually on January 1, the department shall report to the Governor and to the Legislature information regarding the number of children and elderly covered by the programs in subdivisions (2) and (3) of subsection (a), the cost of services by type of service provided, a cost-benefit analysis of the acceleration and expansion on other insurers and the reduction of uncompensated care in hospitals </w:t>
      </w:r>
      <w:proofErr w:type="gramStart"/>
      <w:r w:rsidRPr="001B693D">
        <w:t>as a result of</w:t>
      </w:r>
      <w:proofErr w:type="gramEnd"/>
      <w:r w:rsidRPr="001B693D">
        <w:t xml:space="preserve"> the programs.</w:t>
      </w:r>
    </w:p>
    <w:p w14:paraId="5D23949A" w14:textId="77777777" w:rsidR="001B693D" w:rsidRPr="001B693D" w:rsidRDefault="001B693D" w:rsidP="006E4C3B">
      <w:pPr>
        <w:pStyle w:val="ArticleHeading"/>
        <w:widowControl/>
      </w:pPr>
      <w:r w:rsidRPr="001B693D">
        <w:t>ARTICLE 4C. HEALTH CARE PROVIDER MEDICAID ENHANCEMENT ACT.</w:t>
      </w:r>
    </w:p>
    <w:p w14:paraId="3908C498" w14:textId="77777777" w:rsidR="001B693D" w:rsidRPr="001B693D" w:rsidRDefault="001B693D" w:rsidP="006E4C3B">
      <w:pPr>
        <w:pStyle w:val="SectionHeading"/>
        <w:widowControl/>
      </w:pPr>
      <w:r w:rsidRPr="001B693D">
        <w:t>§9-4C-7. Powers and duties.</w:t>
      </w:r>
    </w:p>
    <w:p w14:paraId="206ABD3C" w14:textId="77777777" w:rsidR="001B693D" w:rsidRPr="001B693D" w:rsidRDefault="001B693D" w:rsidP="006E4C3B">
      <w:pPr>
        <w:rPr>
          <w:rFonts w:eastAsia="Calibri"/>
          <w:b/>
          <w:color w:val="000000"/>
        </w:rPr>
        <w:sectPr w:rsidR="001B693D" w:rsidRPr="001B693D" w:rsidSect="009403D7">
          <w:footerReference w:type="default" r:id="rId15"/>
          <w:type w:val="continuous"/>
          <w:pgSz w:w="12240" w:h="15840"/>
          <w:pgMar w:top="1440" w:right="1440" w:bottom="1440" w:left="1440" w:header="720" w:footer="720" w:gutter="0"/>
          <w:lnNumType w:countBy="1" w:restart="newSection"/>
          <w:pgNumType w:start="2"/>
          <w:cols w:space="720"/>
        </w:sectPr>
      </w:pPr>
    </w:p>
    <w:p w14:paraId="39EA5B3F" w14:textId="77777777" w:rsidR="001B693D" w:rsidRPr="001B693D" w:rsidRDefault="001B693D" w:rsidP="006E4C3B">
      <w:pPr>
        <w:pStyle w:val="SectionBody"/>
        <w:widowControl/>
      </w:pPr>
      <w:r w:rsidRPr="001B693D">
        <w:t>(a) Each board created pursuant to this article shall:</w:t>
      </w:r>
    </w:p>
    <w:p w14:paraId="6EBB5F6B" w14:textId="174B5D36" w:rsidR="001B693D" w:rsidRPr="001B693D" w:rsidRDefault="001B693D" w:rsidP="006E4C3B">
      <w:pPr>
        <w:pStyle w:val="SectionBody"/>
        <w:widowControl/>
      </w:pPr>
      <w:r w:rsidRPr="001B693D">
        <w:t xml:space="preserve">(1) Develop, recommend, and review reimbursement methodology where applicable, and develop and recommend a reasonable provider fee schedule, in relation to its respective provider groups, so that the schedule conforms with federal Medicaid laws and remains within the limits of annual funding available to the single state agency for the Medicaid program. In developing the fee schedule the board may refer to a nationally published regional specific fee schedule, if available, as selected by the secretary in accordance with §9-4C-8 of this code. The board may consider identified health care priorities in developing its fee schedule to the extent permitted by applicable federal Medicaid </w:t>
      </w:r>
      <w:proofErr w:type="gramStart"/>
      <w:r w:rsidRPr="001B693D">
        <w:t>laws, and</w:t>
      </w:r>
      <w:proofErr w:type="gramEnd"/>
      <w:r w:rsidRPr="001B693D">
        <w:t xml:space="preserve"> may recommend higher reimbursement rates for basic primary and preventative health care services than for other services. In identifying basic primary and preventative health care services, the board may consider factors, including, but not limited to, services defined and prioritized by the basic services task force of the health care planning commission in its report issued in December of the year 1992; and minimum benefits and coverages for policies of insurance as set forth in </w:t>
      </w:r>
      <w:r w:rsidRPr="001B693D">
        <w:rPr>
          <w:rFonts w:ascii="Roboto" w:hAnsi="Roboto"/>
          <w:shd w:val="clear" w:color="auto" w:fill="FFFFFF"/>
        </w:rPr>
        <w:t xml:space="preserve">and minimum benefits and coverages for policies of insurance as set forth in chapter thirty-three of this code </w:t>
      </w:r>
      <w:r w:rsidRPr="001B693D">
        <w:t>and rules of the Insurance Commissioner promulgated thereunder. If the single state agency approves the adjustments to the fee schedule, it shall implement the provider fee schedule;</w:t>
      </w:r>
    </w:p>
    <w:p w14:paraId="25487C6A" w14:textId="6F39B9C1" w:rsidR="001B693D" w:rsidRPr="001B693D" w:rsidRDefault="001B693D" w:rsidP="006E4C3B">
      <w:pPr>
        <w:pStyle w:val="SectionBody"/>
        <w:widowControl/>
      </w:pPr>
      <w:r w:rsidRPr="001B693D">
        <w:t>(2) Review its respective provider fee schedule on a quarterly basis and recommend to the single state agency any adjustments it considers necessary. If the single state agency approves any of the board</w:t>
      </w:r>
      <w:r w:rsidR="004A376A">
        <w:t>’</w:t>
      </w:r>
      <w:r w:rsidRPr="001B693D">
        <w:t>s recommendations, it shall immediately implement those adjustments;</w:t>
      </w:r>
    </w:p>
    <w:p w14:paraId="68D9C1C0" w14:textId="77777777" w:rsidR="001B693D" w:rsidRPr="001B693D" w:rsidRDefault="001B693D" w:rsidP="006E4C3B">
      <w:pPr>
        <w:pStyle w:val="SectionBody"/>
        <w:widowControl/>
      </w:pPr>
      <w:r w:rsidRPr="001B693D">
        <w:t>(3) Assist and enhance communications between participating providers and the Department of Health and Human Resources;</w:t>
      </w:r>
    </w:p>
    <w:p w14:paraId="04EADB63" w14:textId="77777777" w:rsidR="001B693D" w:rsidRPr="001B693D" w:rsidRDefault="001B693D" w:rsidP="006E4C3B">
      <w:pPr>
        <w:pStyle w:val="SectionBody"/>
        <w:widowControl/>
      </w:pPr>
      <w:r w:rsidRPr="001B693D">
        <w:t>(4) Meet and confer with representatives from each specialty area within its respective provider group so that equity in reimbursement increases or decreases may be achieved to the greatest extent possible and when appropriate to meet and confer with other provider boards; and</w:t>
      </w:r>
    </w:p>
    <w:p w14:paraId="40EF2960" w14:textId="77777777" w:rsidR="001B693D" w:rsidRPr="001B693D" w:rsidRDefault="001B693D" w:rsidP="006E4C3B">
      <w:pPr>
        <w:pStyle w:val="SectionBody"/>
        <w:widowControl/>
      </w:pPr>
      <w:r w:rsidRPr="001B693D">
        <w:t>(5) Appoint a chairperson to preside over all official transactions of the board.</w:t>
      </w:r>
    </w:p>
    <w:p w14:paraId="32131B7F" w14:textId="77777777" w:rsidR="001B693D" w:rsidRPr="001B693D" w:rsidRDefault="001B693D" w:rsidP="006E4C3B">
      <w:pPr>
        <w:pStyle w:val="SectionBody"/>
        <w:widowControl/>
      </w:pPr>
      <w:r w:rsidRPr="001B693D">
        <w:t>(b) Each board may carry out any other powers and duties as prescribed to it by the secretary.</w:t>
      </w:r>
    </w:p>
    <w:p w14:paraId="2212A5E3" w14:textId="7562F6E9" w:rsidR="001B693D" w:rsidRPr="001B693D" w:rsidRDefault="001B693D" w:rsidP="006E4C3B">
      <w:pPr>
        <w:pStyle w:val="SectionBody"/>
        <w:widowControl/>
      </w:pPr>
      <w:r w:rsidRPr="001B693D">
        <w:t>(c) Nothing in this section gives any board the authority to interfere with the discretion and judgment given to the single state agency that administers the state</w:t>
      </w:r>
      <w:r w:rsidR="004A376A">
        <w:t>’</w:t>
      </w:r>
      <w:r w:rsidRPr="001B693D">
        <w:t>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w:t>
      </w:r>
      <w:r w:rsidR="004A376A">
        <w:t>’</w:t>
      </w:r>
      <w:r w:rsidRPr="001B693D">
        <w:t>s Medicaid plan are met and shall report such modifications to the Joint Committee on Government and Finance on a quarterly basis. The purpose of each board is to assist and enhance the role of the single state agency in carrying out its mandate by acting as a means of communication between the health care provider community and the agency.</w:t>
      </w:r>
    </w:p>
    <w:p w14:paraId="4072CBA2" w14:textId="77777777" w:rsidR="001B693D" w:rsidRPr="001B693D" w:rsidRDefault="001B693D" w:rsidP="006E4C3B">
      <w:pPr>
        <w:pStyle w:val="SectionBody"/>
        <w:widowControl/>
      </w:pPr>
      <w:r w:rsidRPr="001B693D">
        <w:t>(d) In addition to the duties specified in subsection (a) of this section, the ambulance service provider Medicaid board shall develop a method for regulating rates charged by ambulance services.</w:t>
      </w:r>
    </w:p>
    <w:p w14:paraId="2E0EDE30" w14:textId="77777777" w:rsidR="001B693D" w:rsidRPr="001B693D" w:rsidRDefault="001B693D" w:rsidP="006E4C3B">
      <w:pPr>
        <w:pStyle w:val="ChapterHeading"/>
        <w:widowControl/>
      </w:pPr>
      <w:r w:rsidRPr="001B693D">
        <w:t>CHAPTER 12. PUBLIC MONEYS AND SECURITIES.</w:t>
      </w:r>
    </w:p>
    <w:p w14:paraId="0B6EB64D" w14:textId="77777777" w:rsidR="001B693D" w:rsidRPr="001B693D" w:rsidRDefault="001B693D" w:rsidP="006E4C3B">
      <w:pPr>
        <w:pStyle w:val="ArticleHeading"/>
        <w:widowControl/>
      </w:pPr>
      <w:r w:rsidRPr="001B693D">
        <w:t>ARTICLE 7. JOBS INVESTMENT TRUST FUND.</w:t>
      </w:r>
    </w:p>
    <w:p w14:paraId="315459CD" w14:textId="77777777" w:rsidR="001B693D" w:rsidRPr="001B693D" w:rsidRDefault="001B693D" w:rsidP="006E4C3B">
      <w:pPr>
        <w:pStyle w:val="SectionHeading"/>
        <w:widowControl/>
        <w:sectPr w:rsidR="001B693D" w:rsidRPr="001B693D" w:rsidSect="00DD58B3">
          <w:footerReference w:type="default" r:id="rId16"/>
          <w:type w:val="continuous"/>
          <w:pgSz w:w="12240" w:h="15840"/>
          <w:pgMar w:top="1440" w:right="1440" w:bottom="1440" w:left="1440" w:header="720" w:footer="720" w:gutter="0"/>
          <w:lnNumType w:countBy="1" w:restart="newSection"/>
          <w:cols w:space="720"/>
          <w:noEndnote/>
          <w:docGrid w:linePitch="326"/>
        </w:sectPr>
      </w:pPr>
      <w:r w:rsidRPr="001B693D">
        <w:t>§12-7-12. Reports of board; report of housing development fund.</w:t>
      </w:r>
    </w:p>
    <w:p w14:paraId="0C05DF4C" w14:textId="77777777" w:rsidR="001B693D" w:rsidRPr="001B693D" w:rsidRDefault="001B693D" w:rsidP="006E4C3B">
      <w:pPr>
        <w:pStyle w:val="SectionBody"/>
        <w:widowControl/>
      </w:pPr>
      <w:r w:rsidRPr="001B693D">
        <w:t>(a) The board shall prepare annually, or more frequently if deemed necessary by the board, a report of its operations and the performance of the various investments administered by it. A copy thereof shall be furnished to the Governor, the President of the Senate, the Speaker of the House of Delegates, the Legislative Auditor and, upon request, to any legislative committee. Such report shall be kept available for inspection by any citizen of this state.</w:t>
      </w:r>
    </w:p>
    <w:p w14:paraId="58542792" w14:textId="623BBEE8" w:rsidR="001B693D" w:rsidRPr="001B693D" w:rsidRDefault="001B693D" w:rsidP="006E4C3B">
      <w:pPr>
        <w:pStyle w:val="SectionBody"/>
        <w:widowControl/>
      </w:pPr>
      <w:r w:rsidRPr="001B693D">
        <w:t>(b) The West Virginia housing development fund shall prepare annually and submit to the President of the Senate, the Speaker of the House of Delegates, the Legislative Auditor and, upon request, any legislative committee, a report on the performance of the board and the quality of its investments for the preceding year.</w:t>
      </w:r>
    </w:p>
    <w:p w14:paraId="2F7EF863" w14:textId="77777777" w:rsidR="001B693D" w:rsidRPr="001B693D" w:rsidRDefault="001B693D" w:rsidP="006E4C3B">
      <w:pPr>
        <w:pStyle w:val="SectionBody"/>
        <w:widowControl/>
      </w:pPr>
      <w:r w:rsidRPr="001B693D">
        <w:t>(c) The report shall be transmitted to the President of the Senate, the Speaker of the House of Delegates, the Legislative Auditor and, upon request, any legislative committee electronically. Further, the report shall be provided to the legislative librarian to be posted to the legislative website. No hard copy of the report shall be issued; however, upon request a hard copy shall be provided.</w:t>
      </w:r>
    </w:p>
    <w:p w14:paraId="350BBA78" w14:textId="77777777" w:rsidR="001B693D" w:rsidRPr="001B693D" w:rsidRDefault="001B693D" w:rsidP="006E4C3B">
      <w:pPr>
        <w:pStyle w:val="ChapterHeading"/>
        <w:widowControl/>
      </w:pPr>
      <w:r w:rsidRPr="001B693D">
        <w:t>CHAPTER 14. claims due and against the state.</w:t>
      </w:r>
    </w:p>
    <w:p w14:paraId="1DFD5288" w14:textId="77777777" w:rsidR="001B693D" w:rsidRPr="001B693D" w:rsidRDefault="001B693D" w:rsidP="006E4C3B">
      <w:pPr>
        <w:pStyle w:val="ArticleHeading"/>
        <w:widowControl/>
      </w:pPr>
      <w:r w:rsidRPr="001B693D">
        <w:t>ARTICLE 2A. compensation awards to victims of crimes.</w:t>
      </w:r>
    </w:p>
    <w:p w14:paraId="1A53E315" w14:textId="77777777" w:rsidR="001B693D" w:rsidRPr="001B693D" w:rsidRDefault="001B693D" w:rsidP="006E4C3B">
      <w:pPr>
        <w:pStyle w:val="SectionHeading"/>
        <w:widowControl/>
      </w:pPr>
      <w:r w:rsidRPr="001B693D">
        <w:t>§14-2A-21. Annual report of West Virginia Legislative Claims Commission.</w:t>
      </w:r>
    </w:p>
    <w:p w14:paraId="1F3B4E89" w14:textId="77777777" w:rsidR="001B693D" w:rsidRPr="001B693D" w:rsidRDefault="001B693D" w:rsidP="006E4C3B">
      <w:pPr>
        <w:ind w:firstLine="720"/>
        <w:jc w:val="both"/>
        <w:rPr>
          <w:rFonts w:eastAsia="Calibri"/>
          <w:color w:val="000000"/>
        </w:rPr>
        <w:sectPr w:rsidR="001B693D" w:rsidRPr="001B693D" w:rsidSect="00DD58B3">
          <w:footerReference w:type="default" r:id="rId17"/>
          <w:type w:val="continuous"/>
          <w:pgSz w:w="12240" w:h="15840"/>
          <w:pgMar w:top="1440" w:right="1440" w:bottom="1440" w:left="1440" w:header="720" w:footer="720" w:gutter="0"/>
          <w:lnNumType w:countBy="1" w:restart="newSection"/>
          <w:cols w:space="720"/>
          <w:noEndnote/>
          <w:docGrid w:linePitch="326"/>
        </w:sectPr>
      </w:pPr>
    </w:p>
    <w:p w14:paraId="41409032" w14:textId="58F0C933" w:rsidR="001B693D" w:rsidRPr="001B693D" w:rsidRDefault="001B693D" w:rsidP="006E4C3B">
      <w:pPr>
        <w:pStyle w:val="SectionBody"/>
        <w:widowControl/>
        <w:sectPr w:rsidR="001B693D" w:rsidRPr="001B693D" w:rsidSect="00DD58B3">
          <w:footerReference w:type="default" r:id="rId18"/>
          <w:type w:val="continuous"/>
          <w:pgSz w:w="12240" w:h="15840"/>
          <w:pgMar w:top="1440" w:right="1440" w:bottom="1440" w:left="1440" w:header="720" w:footer="720" w:gutter="0"/>
          <w:lnNumType w:countBy="1" w:restart="newSection"/>
          <w:cols w:space="720"/>
          <w:noEndnote/>
          <w:docGrid w:linePitch="326"/>
        </w:sectPr>
      </w:pPr>
      <w:r w:rsidRPr="001B693D">
        <w:t>The West Virginia Legislative Claims Commission shall prepare and transmit annually to the Governor and the Legislature a report of the activities of the West Virginia Legislative Claims Commission under this article. The report shall include the number of claims filed, the number of awards made, the amount of each award, and a statistical summary of claims and awards made and denied; the balance in the Crime Victims Compensation Fund with a listing by source and amount of the moneys that have been deposited in the fund; the amount that has been withdrawn from the fund, including separate listings of the administrative costs incurred by the West Virginia Legislative Claims Commission, compensation of commissioners and commission personnel, and the amount awarded as attorneys</w:t>
      </w:r>
      <w:r w:rsidR="004A376A">
        <w:t>’</w:t>
      </w:r>
      <w:r w:rsidRPr="001B693D">
        <w:t xml:space="preserve"> fees. The report shall be transmitted to the Governor and members of the Legislature electronically. Further, the report shall be provided to the legislative librarian to be posted to the legislative website. No hard copy of the report shall be issued; however, upon request a hard copy shall be provided.</w:t>
      </w:r>
    </w:p>
    <w:p w14:paraId="64E8B15E" w14:textId="77777777" w:rsidR="001B693D" w:rsidRPr="001B693D" w:rsidRDefault="001B693D" w:rsidP="006E4C3B">
      <w:pPr>
        <w:pStyle w:val="ChapterHeading"/>
        <w:widowControl/>
      </w:pPr>
      <w:r w:rsidRPr="001B693D">
        <w:t>CHAPTER 16. PUBLIC HEALTH.</w:t>
      </w:r>
    </w:p>
    <w:p w14:paraId="4DE94FDE" w14:textId="77777777" w:rsidR="001B693D" w:rsidRPr="001B693D" w:rsidRDefault="001B693D" w:rsidP="006E4C3B">
      <w:pPr>
        <w:pStyle w:val="ArticleHeading"/>
        <w:widowControl/>
      </w:pPr>
      <w:r w:rsidRPr="001B693D">
        <w:t>ARTICLE 1. STATE PUBLIC HEALTH SYSTEM.</w:t>
      </w:r>
    </w:p>
    <w:p w14:paraId="0AA9E6FF" w14:textId="77777777" w:rsidR="001B693D" w:rsidRPr="001B693D" w:rsidRDefault="001B693D" w:rsidP="006E4C3B">
      <w:pPr>
        <w:pStyle w:val="SectionHeading"/>
        <w:widowControl/>
      </w:pPr>
      <w:r w:rsidRPr="001B693D">
        <w:t>§16-1-21. Creation of Diabetes Action Plan.</w:t>
      </w:r>
    </w:p>
    <w:p w14:paraId="330F74F7" w14:textId="09C23C93" w:rsidR="001B693D" w:rsidRPr="001B693D" w:rsidRDefault="001B693D" w:rsidP="006E4C3B">
      <w:pPr>
        <w:pStyle w:val="SectionBody"/>
        <w:widowControl/>
      </w:pPr>
      <w:r w:rsidRPr="001B693D">
        <w:t>[Repealed</w:t>
      </w:r>
      <w:r w:rsidR="004D48E2">
        <w:t>.</w:t>
      </w:r>
      <w:r w:rsidRPr="001B693D">
        <w:t>]</w:t>
      </w:r>
    </w:p>
    <w:p w14:paraId="730707A3" w14:textId="77777777" w:rsidR="001B693D" w:rsidRPr="001B693D" w:rsidRDefault="001B693D" w:rsidP="006E4C3B">
      <w:pPr>
        <w:pStyle w:val="ArticleHeading"/>
        <w:widowControl/>
      </w:pPr>
      <w:r w:rsidRPr="001B693D">
        <w:t>Article 3B. Pertussis.</w:t>
      </w:r>
    </w:p>
    <w:p w14:paraId="6FBCE53C" w14:textId="1491228D" w:rsidR="001B693D" w:rsidRPr="001B693D" w:rsidRDefault="001B693D" w:rsidP="006E4C3B">
      <w:pPr>
        <w:pStyle w:val="SectionHeading"/>
        <w:widowControl/>
        <w:sectPr w:rsidR="001B693D" w:rsidRPr="001B693D" w:rsidSect="00DD58B3">
          <w:footerReference w:type="default" r:id="rId19"/>
          <w:type w:val="continuous"/>
          <w:pgSz w:w="12240" w:h="15840" w:code="1"/>
          <w:pgMar w:top="1440" w:right="1440" w:bottom="1440" w:left="1440" w:header="720" w:footer="720" w:gutter="0"/>
          <w:lnNumType w:countBy="1" w:restart="newSection"/>
          <w:cols w:space="720"/>
          <w:docGrid w:linePitch="360"/>
        </w:sectPr>
      </w:pPr>
      <w:r w:rsidRPr="001B693D">
        <w:t xml:space="preserve">§16-3B-4. </w:t>
      </w:r>
      <w:r w:rsidR="004D48E2" w:rsidRPr="001B693D">
        <w:t>Data collection on pertussis vaccine administration</w:t>
      </w:r>
      <w:r w:rsidRPr="001B693D">
        <w:t>.</w:t>
      </w:r>
    </w:p>
    <w:p w14:paraId="3CB313BA" w14:textId="77777777" w:rsidR="001B693D" w:rsidRPr="001B693D" w:rsidRDefault="001B693D" w:rsidP="006E4C3B">
      <w:pPr>
        <w:pStyle w:val="SectionBody"/>
        <w:widowControl/>
      </w:pPr>
      <w:r w:rsidRPr="001B693D">
        <w:t xml:space="preserve"> (a) By guideline, the department shall establish a system, sufficient for the purposes of subsections (b) and (c) of this section, to collect data from the local health officers, from public and private health care providers and from parents on the incidence of pertussis and major adverse reactions to pertussis vaccine.</w:t>
      </w:r>
    </w:p>
    <w:p w14:paraId="3D0893D2" w14:textId="77777777" w:rsidR="001B693D" w:rsidRPr="001B693D" w:rsidRDefault="001B693D" w:rsidP="006E4C3B">
      <w:pPr>
        <w:pStyle w:val="SectionBody"/>
        <w:widowControl/>
      </w:pPr>
      <w:r w:rsidRPr="001B693D">
        <w:t>(b) On the basis of information collected under this subsection and of other information available, the department shall periodically revise and update the information required by and the guidelines adopted under §16-3B-2 of this code.</w:t>
      </w:r>
    </w:p>
    <w:p w14:paraId="0D1BC38C" w14:textId="0BBAE288" w:rsidR="001B693D" w:rsidRPr="001B693D" w:rsidRDefault="001B693D" w:rsidP="006E4C3B">
      <w:pPr>
        <w:pStyle w:val="SectionBody"/>
        <w:widowControl/>
      </w:pPr>
      <w:r w:rsidRPr="001B693D">
        <w:t>(c) The department shall report to the United States Centers for Disease Control and Prevention all information collected under this section, including that received under §16-3B-3 of this code.</w:t>
      </w:r>
    </w:p>
    <w:p w14:paraId="3D20C396" w14:textId="77777777" w:rsidR="001B693D" w:rsidRPr="001B693D" w:rsidRDefault="001B693D" w:rsidP="006E4C3B">
      <w:pPr>
        <w:pStyle w:val="ArticleHeading"/>
        <w:widowControl/>
      </w:pPr>
      <w:r w:rsidRPr="001B693D">
        <w:t>ARTICLE 33. breast and cervical canceR prevention and control act.</w:t>
      </w:r>
    </w:p>
    <w:p w14:paraId="2CFC2D6E" w14:textId="77777777" w:rsidR="001B693D" w:rsidRPr="001B693D" w:rsidRDefault="001B693D" w:rsidP="006E4C3B">
      <w:pPr>
        <w:ind w:left="720" w:hanging="720"/>
        <w:jc w:val="both"/>
        <w:outlineLvl w:val="3"/>
        <w:rPr>
          <w:rFonts w:cs="Arial"/>
          <w:b/>
          <w:color w:val="000000"/>
        </w:rPr>
        <w:sectPr w:rsidR="001B693D" w:rsidRPr="001B693D" w:rsidSect="00DD58B3">
          <w:type w:val="continuous"/>
          <w:pgSz w:w="12240" w:h="15840" w:code="1"/>
          <w:pgMar w:top="1440" w:right="1440" w:bottom="1440" w:left="1440" w:header="720" w:footer="720" w:gutter="0"/>
          <w:lnNumType w:countBy="1" w:restart="newSection"/>
          <w:cols w:space="720"/>
          <w:docGrid w:linePitch="360"/>
        </w:sectPr>
      </w:pPr>
    </w:p>
    <w:p w14:paraId="6167A9EE" w14:textId="77777777" w:rsidR="001B693D" w:rsidRPr="001B693D" w:rsidRDefault="001B693D" w:rsidP="006E4C3B">
      <w:pPr>
        <w:pStyle w:val="SectionHeading"/>
        <w:widowControl/>
      </w:pPr>
      <w:r w:rsidRPr="001B693D">
        <w:t>§16-33-6. Annual report.</w:t>
      </w:r>
    </w:p>
    <w:p w14:paraId="60EEE88D" w14:textId="77777777" w:rsidR="001B693D" w:rsidRPr="001B693D" w:rsidRDefault="001B693D" w:rsidP="006E4C3B">
      <w:pPr>
        <w:pStyle w:val="SectionBody"/>
        <w:widowControl/>
        <w:sectPr w:rsidR="001B693D" w:rsidRPr="001B693D" w:rsidSect="00DD58B3">
          <w:footerReference w:type="default" r:id="rId20"/>
          <w:type w:val="continuous"/>
          <w:pgSz w:w="12240" w:h="15840"/>
          <w:pgMar w:top="1440" w:right="1440" w:bottom="1440" w:left="1440" w:header="720" w:footer="720" w:gutter="0"/>
          <w:lnNumType w:countBy="1" w:restart="newSection"/>
          <w:cols w:space="720"/>
          <w:noEndnote/>
          <w:docGrid w:linePitch="326"/>
        </w:sectPr>
      </w:pPr>
      <w:r w:rsidRPr="001B693D">
        <w:t>The director shall submit an annual report to the Governor and the Legislature concerning the operation of the breast and cervical cancer detection and education program including available data and assessment. Such report shall also include any recommendations for additional action to respond to the high incidence of breast and cervical cancer in this state. The report shall be transmitted to Governor and members of the Legislature electronically. Further, the report shall be provided to the legislative librarian to be posted to the legislative website. No hard copy of the report shall be issued; however, upon request a hard copy shall be provided.</w:t>
      </w:r>
    </w:p>
    <w:p w14:paraId="485C41F0" w14:textId="77777777" w:rsidR="001B693D" w:rsidRPr="001B693D" w:rsidRDefault="001B693D" w:rsidP="006E4C3B">
      <w:pPr>
        <w:pStyle w:val="ArticleHeading"/>
        <w:widowControl/>
        <w:ind w:left="0" w:firstLine="0"/>
      </w:pPr>
      <w:r w:rsidRPr="001B693D">
        <w:t>ARTICLE 41. oral health improvement act.</w:t>
      </w:r>
    </w:p>
    <w:p w14:paraId="165A706D" w14:textId="77777777" w:rsidR="001B693D" w:rsidRPr="001B693D" w:rsidRDefault="001B693D" w:rsidP="006E4C3B">
      <w:pPr>
        <w:ind w:left="720" w:hanging="720"/>
        <w:jc w:val="both"/>
        <w:outlineLvl w:val="3"/>
        <w:rPr>
          <w:rFonts w:cs="Arial"/>
          <w:b/>
          <w:color w:val="000000"/>
        </w:rPr>
        <w:sectPr w:rsidR="001B693D" w:rsidRPr="001B693D" w:rsidSect="00DD58B3">
          <w:footerReference w:type="default" r:id="rId21"/>
          <w:type w:val="continuous"/>
          <w:pgSz w:w="12240" w:h="15840" w:code="1"/>
          <w:pgMar w:top="1440" w:right="1440" w:bottom="1440" w:left="1440" w:header="720" w:footer="720" w:gutter="0"/>
          <w:lnNumType w:countBy="1" w:restart="newSection"/>
          <w:cols w:space="720"/>
          <w:docGrid w:linePitch="360"/>
        </w:sectPr>
      </w:pPr>
    </w:p>
    <w:p w14:paraId="2697D014" w14:textId="77777777" w:rsidR="001B693D" w:rsidRPr="001B693D" w:rsidRDefault="001B693D" w:rsidP="006E4C3B">
      <w:pPr>
        <w:pStyle w:val="SectionHeading"/>
        <w:widowControl/>
      </w:pPr>
      <w:r w:rsidRPr="001B693D">
        <w:t>§16-41-6. Reporting requirements.</w:t>
      </w:r>
    </w:p>
    <w:p w14:paraId="291657DF" w14:textId="77777777" w:rsidR="001B693D" w:rsidRPr="001B693D" w:rsidRDefault="001B693D" w:rsidP="006E4C3B">
      <w:pPr>
        <w:pStyle w:val="SectionBody"/>
        <w:widowControl/>
      </w:pPr>
      <w:r w:rsidRPr="001B693D">
        <w:t>[Repealed.]</w:t>
      </w:r>
    </w:p>
    <w:p w14:paraId="5935E039" w14:textId="77777777" w:rsidR="001B693D" w:rsidRPr="001B693D" w:rsidRDefault="001B693D" w:rsidP="006E4C3B">
      <w:pPr>
        <w:pStyle w:val="SectionBody"/>
        <w:widowControl/>
        <w:ind w:firstLine="0"/>
        <w:sectPr w:rsidR="001B693D" w:rsidRPr="001B693D" w:rsidSect="00DD58B3">
          <w:footerReference w:type="default" r:id="rId22"/>
          <w:type w:val="continuous"/>
          <w:pgSz w:w="12240" w:h="15840"/>
          <w:pgMar w:top="1440" w:right="1440" w:bottom="1440" w:left="1440" w:header="720" w:footer="720" w:gutter="0"/>
          <w:lnNumType w:countBy="1" w:restart="newSection"/>
          <w:cols w:space="720"/>
          <w:noEndnote/>
          <w:docGrid w:linePitch="326"/>
        </w:sectPr>
      </w:pPr>
    </w:p>
    <w:p w14:paraId="02E7DF39" w14:textId="77777777" w:rsidR="001B693D" w:rsidRPr="001B693D" w:rsidRDefault="001B693D" w:rsidP="006E4C3B">
      <w:pPr>
        <w:pStyle w:val="ChapterHeading"/>
        <w:widowControl/>
      </w:pPr>
      <w:r w:rsidRPr="001B693D">
        <w:t>CHAPTER 18. EDUCATION.</w:t>
      </w:r>
    </w:p>
    <w:p w14:paraId="146B527F" w14:textId="77777777" w:rsidR="001B693D" w:rsidRPr="001B693D" w:rsidRDefault="001B693D" w:rsidP="006E4C3B">
      <w:pPr>
        <w:pStyle w:val="ArticleHeading"/>
        <w:widowControl/>
      </w:pPr>
      <w:r w:rsidRPr="001B693D">
        <w:t>ARTICLE 10L. RON YOST PERSONAL ASSISTANCE SERVICES ACT.</w:t>
      </w:r>
    </w:p>
    <w:p w14:paraId="74487BDF" w14:textId="77777777" w:rsidR="001B693D" w:rsidRPr="001B693D" w:rsidRDefault="001B693D" w:rsidP="006E4C3B">
      <w:pPr>
        <w:ind w:left="720" w:hanging="720"/>
        <w:jc w:val="both"/>
        <w:outlineLvl w:val="3"/>
        <w:rPr>
          <w:rFonts w:cs="Arial"/>
          <w:b/>
          <w:color w:val="000000"/>
        </w:rPr>
        <w:sectPr w:rsidR="001B693D" w:rsidRPr="001B693D" w:rsidSect="00DD58B3">
          <w:footerReference w:type="default" r:id="rId23"/>
          <w:type w:val="continuous"/>
          <w:pgSz w:w="12240" w:h="15840" w:code="1"/>
          <w:pgMar w:top="1440" w:right="1440" w:bottom="1440" w:left="1440" w:header="720" w:footer="720" w:gutter="0"/>
          <w:lnNumType w:countBy="1" w:restart="newSection"/>
          <w:cols w:space="720"/>
          <w:docGrid w:linePitch="360"/>
        </w:sectPr>
      </w:pPr>
    </w:p>
    <w:p w14:paraId="1BC51186" w14:textId="77777777" w:rsidR="001B693D" w:rsidRPr="001B693D" w:rsidRDefault="001B693D" w:rsidP="006E4C3B">
      <w:pPr>
        <w:pStyle w:val="SectionHeading"/>
        <w:widowControl/>
      </w:pPr>
      <w:r w:rsidRPr="001B693D">
        <w:t>§18-10L-7. Report.</w:t>
      </w:r>
    </w:p>
    <w:p w14:paraId="723E10BA" w14:textId="77777777" w:rsidR="001B693D" w:rsidRPr="001B693D" w:rsidRDefault="001B693D" w:rsidP="006E4C3B">
      <w:pPr>
        <w:pStyle w:val="SectionBody"/>
        <w:widowControl/>
      </w:pPr>
      <w:r w:rsidRPr="001B693D">
        <w:t>[Repealed.]</w:t>
      </w:r>
    </w:p>
    <w:p w14:paraId="5214A19C" w14:textId="10B2D0C9" w:rsidR="001B693D" w:rsidRPr="001B693D" w:rsidRDefault="001B693D" w:rsidP="006E4C3B">
      <w:pPr>
        <w:pStyle w:val="ChapterHeading"/>
        <w:widowControl/>
      </w:pPr>
      <w:r w:rsidRPr="001B693D">
        <w:t>CHAPTER 22A. MINERS</w:t>
      </w:r>
      <w:r w:rsidR="004A376A">
        <w:t>’</w:t>
      </w:r>
      <w:r w:rsidRPr="001B693D">
        <w:t xml:space="preserve"> HEALTH, SAFETY AND TRAINING.</w:t>
      </w:r>
    </w:p>
    <w:p w14:paraId="7C88C931" w14:textId="77777777" w:rsidR="001B693D" w:rsidRPr="001B693D" w:rsidRDefault="001B693D" w:rsidP="006E4C3B">
      <w:pPr>
        <w:pStyle w:val="ArticleHeading"/>
        <w:widowControl/>
      </w:pPr>
      <w:r w:rsidRPr="001B693D">
        <w:t>ARTICLE 6. BOARD OF COAL MINE HEALTH AND SAFETY.</w:t>
      </w:r>
    </w:p>
    <w:p w14:paraId="269B4FBE" w14:textId="77777777" w:rsidR="001B693D" w:rsidRPr="001B693D" w:rsidRDefault="001B693D" w:rsidP="006E4C3B">
      <w:pPr>
        <w:suppressLineNumbers/>
        <w:ind w:left="720" w:hanging="720"/>
        <w:jc w:val="both"/>
        <w:outlineLvl w:val="3"/>
        <w:rPr>
          <w:color w:val="000000"/>
        </w:rPr>
        <w:sectPr w:rsidR="001B693D" w:rsidRPr="001B693D" w:rsidSect="00DD58B3">
          <w:footerReference w:type="default" r:id="rId24"/>
          <w:type w:val="continuous"/>
          <w:pgSz w:w="12240" w:h="15840"/>
          <w:pgMar w:top="1440" w:right="1440" w:bottom="1440" w:left="1440" w:header="720" w:footer="720" w:gutter="0"/>
          <w:lnNumType w:countBy="1" w:restart="newSection"/>
          <w:cols w:space="720"/>
          <w:noEndnote/>
          <w:docGrid w:linePitch="326"/>
        </w:sectPr>
      </w:pPr>
      <w:r w:rsidRPr="001B693D">
        <w:rPr>
          <w:rStyle w:val="SectionHeadingChar"/>
          <w:rFonts w:cs="Arial"/>
          <w:bCs/>
        </w:rPr>
        <w:t>§22A-6-11.</w:t>
      </w:r>
      <w:r w:rsidRPr="001B693D">
        <w:rPr>
          <w:rStyle w:val="SectionHeadingChar"/>
          <w:rFonts w:cs="Arial"/>
        </w:rPr>
        <w:t xml:space="preserve"> </w:t>
      </w:r>
      <w:hyperlink r:id="rId25" w:anchor="6" w:history="1">
        <w:r w:rsidRPr="001B693D">
          <w:rPr>
            <w:rStyle w:val="Hyperlink"/>
            <w:rFonts w:cs="Arial"/>
            <w:b/>
            <w:color w:val="000000"/>
            <w:u w:val="none"/>
          </w:rPr>
          <w:t>Study of methane detecting shut off devices.</w:t>
        </w:r>
      </w:hyperlink>
    </w:p>
    <w:p w14:paraId="2F4EF814" w14:textId="77777777" w:rsidR="001B693D" w:rsidRPr="001B693D" w:rsidRDefault="001B693D" w:rsidP="006E4C3B">
      <w:pPr>
        <w:pStyle w:val="SectionBody"/>
        <w:widowControl/>
      </w:pPr>
      <w:r w:rsidRPr="001B693D">
        <w:t>[Repealed.]</w:t>
      </w:r>
    </w:p>
    <w:p w14:paraId="038FD8C2" w14:textId="77777777" w:rsidR="001B693D" w:rsidRPr="001B693D" w:rsidRDefault="001B693D" w:rsidP="006E4C3B">
      <w:pPr>
        <w:suppressLineNumbers/>
        <w:ind w:left="720" w:hanging="720"/>
        <w:jc w:val="both"/>
        <w:outlineLvl w:val="3"/>
        <w:rPr>
          <w:rFonts w:cs="Arial"/>
          <w:color w:val="000000"/>
        </w:rPr>
        <w:sectPr w:rsidR="001B693D" w:rsidRPr="001B693D" w:rsidSect="00DD58B3">
          <w:footerReference w:type="default" r:id="rId26"/>
          <w:type w:val="continuous"/>
          <w:pgSz w:w="12240" w:h="15840"/>
          <w:pgMar w:top="1440" w:right="1440" w:bottom="1440" w:left="1440" w:header="720" w:footer="720" w:gutter="0"/>
          <w:lnNumType w:countBy="1" w:restart="newSection"/>
          <w:cols w:space="720"/>
          <w:noEndnote/>
          <w:docGrid w:linePitch="326"/>
        </w:sectPr>
      </w:pPr>
      <w:r w:rsidRPr="001B693D">
        <w:rPr>
          <w:rStyle w:val="SectionHeadingChar"/>
          <w:rFonts w:cs="Arial"/>
          <w:bCs/>
        </w:rPr>
        <w:t>§22A-6-12.</w:t>
      </w:r>
      <w:r w:rsidRPr="001B693D">
        <w:rPr>
          <w:rStyle w:val="SectionHeadingChar"/>
          <w:rFonts w:cs="Arial"/>
        </w:rPr>
        <w:t xml:space="preserve"> </w:t>
      </w:r>
      <w:hyperlink r:id="rId27" w:anchor="6" w:history="1">
        <w:hyperlink r:id="rId28" w:anchor="6" w:history="1">
          <w:r w:rsidRPr="001B693D">
            <w:rPr>
              <w:rStyle w:val="Hyperlink"/>
              <w:rFonts w:cs="Arial"/>
              <w:b/>
              <w:color w:val="000000"/>
              <w:u w:val="none"/>
            </w:rPr>
            <w:t>Study of whistleblower protections.</w:t>
          </w:r>
        </w:hyperlink>
      </w:hyperlink>
      <w:r w:rsidRPr="001B693D">
        <w:rPr>
          <w:rFonts w:cs="Arial"/>
          <w:color w:val="000000"/>
        </w:rPr>
        <w:t xml:space="preserve"> </w:t>
      </w:r>
    </w:p>
    <w:p w14:paraId="407B3483" w14:textId="77777777" w:rsidR="001B693D" w:rsidRPr="001B693D" w:rsidRDefault="001B693D" w:rsidP="006E4C3B">
      <w:pPr>
        <w:pStyle w:val="SectionBody"/>
        <w:widowControl/>
      </w:pPr>
      <w:r w:rsidRPr="001B693D">
        <w:t>[Repealed.]</w:t>
      </w:r>
    </w:p>
    <w:p w14:paraId="519A5B9B" w14:textId="77777777" w:rsidR="001B693D" w:rsidRPr="001B693D" w:rsidRDefault="001B693D" w:rsidP="006E4C3B">
      <w:pPr>
        <w:pStyle w:val="SectionHeading"/>
        <w:widowControl/>
        <w:sectPr w:rsidR="001B693D" w:rsidRPr="001B693D" w:rsidSect="00DD58B3">
          <w:footerReference w:type="default" r:id="rId29"/>
          <w:type w:val="continuous"/>
          <w:pgSz w:w="12240" w:h="15840"/>
          <w:pgMar w:top="1440" w:right="1440" w:bottom="1440" w:left="1440" w:header="720" w:footer="720" w:gutter="0"/>
          <w:lnNumType w:countBy="1" w:restart="newSection"/>
          <w:cols w:space="720"/>
          <w:noEndnote/>
          <w:docGrid w:linePitch="326"/>
        </w:sectPr>
      </w:pPr>
    </w:p>
    <w:p w14:paraId="29B9373B" w14:textId="77777777" w:rsidR="001B693D" w:rsidRPr="001B693D" w:rsidRDefault="001B693D" w:rsidP="006E4C3B">
      <w:pPr>
        <w:suppressLineNumbers/>
        <w:ind w:left="720" w:hanging="720"/>
        <w:jc w:val="both"/>
        <w:outlineLvl w:val="3"/>
        <w:rPr>
          <w:rFonts w:cs="Arial"/>
          <w:color w:val="000000"/>
        </w:rPr>
      </w:pPr>
      <w:r w:rsidRPr="001B693D">
        <w:rPr>
          <w:rStyle w:val="SectionHeadingChar"/>
          <w:rFonts w:cs="Arial"/>
          <w:bCs/>
        </w:rPr>
        <w:t>§22A-6-13.</w:t>
      </w:r>
      <w:r w:rsidRPr="001B693D">
        <w:rPr>
          <w:rStyle w:val="SectionHeadingChar"/>
          <w:rFonts w:cs="Arial"/>
        </w:rPr>
        <w:t xml:space="preserve"> </w:t>
      </w:r>
      <w:hyperlink r:id="rId30" w:anchor="6" w:history="1">
        <w:hyperlink r:id="rId31" w:anchor="6" w:history="1">
          <w:r w:rsidRPr="001B693D">
            <w:rPr>
              <w:rStyle w:val="Hyperlink"/>
              <w:rFonts w:cs="Arial"/>
              <w:b/>
              <w:color w:val="000000"/>
              <w:u w:val="none"/>
            </w:rPr>
            <w:t>Study of ingress and egress to bleeder and gob areas of longwall panels and pillar</w:t>
          </w:r>
        </w:hyperlink>
        <w:r w:rsidRPr="001B693D">
          <w:rPr>
            <w:rStyle w:val="Hyperlink"/>
            <w:rFonts w:cs="Arial"/>
            <w:b/>
            <w:color w:val="000000"/>
            <w:u w:val="none"/>
          </w:rPr>
          <w:t>.</w:t>
        </w:r>
      </w:hyperlink>
    </w:p>
    <w:p w14:paraId="418897D1" w14:textId="77777777" w:rsidR="001B693D" w:rsidRPr="001B693D" w:rsidRDefault="001B693D" w:rsidP="006E4C3B">
      <w:pPr>
        <w:pStyle w:val="SectionBody"/>
        <w:widowControl/>
      </w:pPr>
      <w:r w:rsidRPr="001B693D">
        <w:t>[Repealed.]</w:t>
      </w:r>
    </w:p>
    <w:p w14:paraId="30350E69" w14:textId="77777777" w:rsidR="001B693D" w:rsidRPr="001B693D" w:rsidRDefault="001B693D" w:rsidP="006E4C3B">
      <w:pPr>
        <w:pStyle w:val="SectionHeading"/>
        <w:widowControl/>
        <w:sectPr w:rsidR="001B693D" w:rsidRPr="001B693D" w:rsidSect="00DD58B3">
          <w:footerReference w:type="default" r:id="rId32"/>
          <w:type w:val="continuous"/>
          <w:pgSz w:w="12240" w:h="15840"/>
          <w:pgMar w:top="1440" w:right="1440" w:bottom="1440" w:left="1440" w:header="720" w:footer="720" w:gutter="0"/>
          <w:lnNumType w:countBy="1" w:restart="newSection"/>
          <w:cols w:space="720"/>
          <w:noEndnote/>
          <w:docGrid w:linePitch="326"/>
        </w:sectPr>
      </w:pPr>
    </w:p>
    <w:p w14:paraId="7E7691AE" w14:textId="77777777" w:rsidR="001B693D" w:rsidRPr="001B693D" w:rsidRDefault="001B693D" w:rsidP="006E4C3B">
      <w:pPr>
        <w:pStyle w:val="ChapterHeading"/>
        <w:widowControl/>
      </w:pPr>
      <w:r w:rsidRPr="001B693D">
        <w:t>CHAPTER 29. MISCELLANEOUS BOARDS AND OFFICERS.</w:t>
      </w:r>
    </w:p>
    <w:p w14:paraId="25BFC19D" w14:textId="77777777" w:rsidR="001B693D" w:rsidRPr="001B693D" w:rsidRDefault="001B693D" w:rsidP="006E4C3B">
      <w:pPr>
        <w:pStyle w:val="ArticleHeading"/>
        <w:widowControl/>
      </w:pPr>
      <w:r w:rsidRPr="001B693D">
        <w:t>ARTICLE 6. CIVIL SERVICE SYSTEM.</w:t>
      </w:r>
    </w:p>
    <w:p w14:paraId="4873722F" w14:textId="77777777" w:rsidR="001B693D" w:rsidRPr="001B693D" w:rsidRDefault="001B693D" w:rsidP="006E4C3B">
      <w:pPr>
        <w:pStyle w:val="SectionHeading"/>
        <w:widowControl/>
      </w:pPr>
      <w:r w:rsidRPr="001B693D">
        <w:t>§29-6-7a. Report on a centralized personnel system.</w:t>
      </w:r>
    </w:p>
    <w:p w14:paraId="0FF0603A" w14:textId="77777777" w:rsidR="001B693D" w:rsidRPr="001B693D" w:rsidRDefault="001B693D" w:rsidP="006E4C3B">
      <w:pPr>
        <w:pStyle w:val="SectionBody"/>
        <w:widowControl/>
      </w:pPr>
      <w:r w:rsidRPr="001B693D">
        <w:t>[Repealed.]</w:t>
      </w:r>
    </w:p>
    <w:p w14:paraId="13A83ACF" w14:textId="77777777" w:rsidR="001B693D" w:rsidRPr="001B693D" w:rsidRDefault="001B693D" w:rsidP="006E4C3B">
      <w:pPr>
        <w:pStyle w:val="SectionBody"/>
        <w:widowControl/>
        <w:sectPr w:rsidR="001B693D" w:rsidRPr="001B693D" w:rsidSect="00DD58B3">
          <w:footerReference w:type="default" r:id="rId33"/>
          <w:type w:val="continuous"/>
          <w:pgSz w:w="12240" w:h="15840"/>
          <w:pgMar w:top="1440" w:right="1440" w:bottom="1440" w:left="1440" w:header="720" w:footer="720" w:gutter="0"/>
          <w:lnNumType w:countBy="1" w:restart="newSection"/>
          <w:cols w:space="720"/>
          <w:noEndnote/>
          <w:docGrid w:linePitch="326"/>
        </w:sectPr>
      </w:pPr>
    </w:p>
    <w:p w14:paraId="37E4D158" w14:textId="77777777" w:rsidR="001B693D" w:rsidRPr="001B693D" w:rsidRDefault="001B693D" w:rsidP="006E4C3B">
      <w:pPr>
        <w:pStyle w:val="ChapterHeading"/>
        <w:widowControl/>
      </w:pPr>
      <w:r w:rsidRPr="001B693D">
        <w:t>Chapter 31. Corporations.</w:t>
      </w:r>
    </w:p>
    <w:p w14:paraId="603FF502" w14:textId="77777777" w:rsidR="001B693D" w:rsidRPr="001B693D" w:rsidRDefault="001B693D" w:rsidP="006E4C3B">
      <w:pPr>
        <w:pStyle w:val="ArticleHeading"/>
        <w:widowControl/>
      </w:pPr>
      <w:r w:rsidRPr="001B693D">
        <w:t>ARTICLE 15A. WEST VIRGINIA INFRASTRUCTURE AND JOBS DEVELOPMENT COUNCIL.</w:t>
      </w:r>
    </w:p>
    <w:p w14:paraId="10A737FA" w14:textId="77777777" w:rsidR="001B693D" w:rsidRPr="001B693D" w:rsidRDefault="001B693D" w:rsidP="006E4C3B">
      <w:pPr>
        <w:pStyle w:val="SectionHeading"/>
        <w:widowControl/>
      </w:pPr>
      <w:r w:rsidRPr="001B693D">
        <w:t>§31-15A-17b. Infrastructure lottery revenue bonds for watershed compliance projects.</w:t>
      </w:r>
    </w:p>
    <w:p w14:paraId="7A1B3B06" w14:textId="77777777" w:rsidR="001B693D" w:rsidRPr="001B693D" w:rsidRDefault="001B693D" w:rsidP="006E4C3B">
      <w:pPr>
        <w:pStyle w:val="SectionBody"/>
        <w:widowControl/>
      </w:pPr>
      <w:r w:rsidRPr="001B693D">
        <w:t>(a)(1) The Chesapeake Bay has been identified as an impaired water body due to excessive nutrients entering the bay from various sources in six states, including wastewater facilities in West Virginia. To restore the Chesapeake Bay, the states have agreed to reduce their respective nutrient contributions to the Chesapeake Bay.</w:t>
      </w:r>
    </w:p>
    <w:p w14:paraId="01B440C8" w14:textId="77777777" w:rsidR="001B693D" w:rsidRPr="001B693D" w:rsidRDefault="001B693D" w:rsidP="006E4C3B">
      <w:pPr>
        <w:pStyle w:val="SectionBody"/>
        <w:widowControl/>
      </w:pPr>
      <w:r w:rsidRPr="001B693D">
        <w:t xml:space="preserve">(2) The Greenbrier River Watershed in southeastern West Virginia which encompasses approximately 1,646 square miles, the majority of which lies within Pocahontas, Greenbrier, Monroe, and </w:t>
      </w:r>
      <w:proofErr w:type="gramStart"/>
      <w:r w:rsidRPr="001B693D">
        <w:t>Summers</w:t>
      </w:r>
      <w:proofErr w:type="gramEnd"/>
      <w:r w:rsidRPr="001B693D">
        <w:t xml:space="preserve"> counties, has been identified as an impaired water body due to excessive levels of fecal coliform and phosphorus entering the watershed from various sources, including wastewater facilities in West Virginia. To restore the Greenbrier River Watershed, the state agrees to reduce the fecal coliform and phosphorus contributions to the Greenbrier River Watershed.</w:t>
      </w:r>
    </w:p>
    <w:p w14:paraId="7B25E5D6" w14:textId="77777777" w:rsidR="001B693D" w:rsidRPr="001B693D" w:rsidRDefault="001B693D" w:rsidP="006E4C3B">
      <w:pPr>
        <w:pStyle w:val="SectionBody"/>
        <w:widowControl/>
      </w:pPr>
      <w:r w:rsidRPr="001B693D">
        <w:t>(b) Notwithstanding any other provision of this code to the contrary, the Water Development Authority may issue, in accordance with the provisions of §31-15A-17 of this code, infrastructure lottery revenue bonds payable from the West Virginia Infrastructure Lottery Revenue Debt Service Fund created by §31-15A-9 of this code and such other sources as may be legally pledged for such purposes other than the West Virginia Infrastructure Revenue Debt Service Fund created by §31-15A-17 of this code.</w:t>
      </w:r>
    </w:p>
    <w:p w14:paraId="77EF30E3" w14:textId="77777777" w:rsidR="001B693D" w:rsidRPr="001B693D" w:rsidRDefault="001B693D" w:rsidP="006E4C3B">
      <w:pPr>
        <w:pStyle w:val="SectionBody"/>
        <w:widowControl/>
      </w:pPr>
      <w:r w:rsidRPr="001B693D">
        <w:t xml:space="preserve">(c) The council shall direct the Water Development Authority to issue bonds in one or more series when it has approved Chesapeake Bay watershed compliance projects and Greenbrier River watershed compliance projects with an authorized permitted flow of 400,000 gallons per day or more. The proceeds of the bonds shall be used solely to pay costs of issuance, fund a debt service reserve account, capitalize interest, pay for security instruments necessary to market the bonds, and to make grants to governmental instrumentalities of the state for the construction of approved Chesapeake Bay watershed compliance projects and Greenbrier River watershed compliance projects. To the extent funds are available in the West Virginia Infrastructure Lottery Revenue Debt Service Fund that are not needed for debt service, the council may direct the Water Development Authority to make grants to project sponsors for the design or construction of approved Chesapeake Bay watershed compliance projects and Greenbrier River watershed compliance projects: </w:t>
      </w:r>
      <w:r w:rsidRPr="004A376A">
        <w:rPr>
          <w:i/>
          <w:iCs/>
        </w:rPr>
        <w:t>Provided</w:t>
      </w:r>
      <w:r w:rsidRPr="001B693D">
        <w:t>, That the council shall direct the Water Development Authority to provide from moneys in the Lottery Revenue Debt Service Fund not needed to pay debt service in fiscal year 2013, a grant of $6 million to a Chesapeake Bay watershed compliance project which opened bids on December 28, 2011, and further provided that such Chesapeake Bay watershed compliance project shall receive no further grant funding under this section after receipt of the $6 million grant.</w:t>
      </w:r>
    </w:p>
    <w:p w14:paraId="2E3365D5" w14:textId="77777777" w:rsidR="001B693D" w:rsidRPr="001B693D" w:rsidRDefault="001B693D" w:rsidP="006E4C3B">
      <w:pPr>
        <w:pStyle w:val="SectionBody"/>
        <w:widowControl/>
      </w:pPr>
      <w:r w:rsidRPr="001B693D">
        <w:t>(d) No later than June 30, 2012, each publicly owned facility with an authorized permitted flow of 400,000 gallons per day or more that is subject to meeting Chesapeake Bay compliance standards or Greenbrier River watershed compliance standards shall submit to the council a 10-year projected capital funding plan for Chesapeake Bay watershed compliance projects or Greenbrier River watershed compliance projects, as the case may be, including a general project description, cost estimate, and estimated or actual project start date and project completion date, if any. The council shall timely review the submitted capital funding plans and forward approved plans to the Water Development Authority for further processing and implementation pursuant to this article. If the council finds a plan to be incomplete, inadequate, or otherwise problematic, it shall return the plan to the applicant with comment on the plan shortcomings. The applicant may then resubmit to council an amended capital funding plan for further consideration pursuant to the terms of this subsection.</w:t>
      </w:r>
    </w:p>
    <w:p w14:paraId="04D66F7A" w14:textId="77777777" w:rsidR="001B693D" w:rsidRPr="001B693D" w:rsidRDefault="001B693D" w:rsidP="006E4C3B">
      <w:pPr>
        <w:pStyle w:val="SectionBody"/>
        <w:widowControl/>
      </w:pPr>
      <w:r w:rsidRPr="001B693D">
        <w:t>(e) Upon approval, each proposed Chesapeake Bay watershed compliance project or Greenbrier River watershed compliance project, or portion of a larger project, which portion is dedicated to compliance with nutrient standards, or fecal coliform and phosphorus standards, established for the protection and restoration of the Chesapeake Bay or the Greenbrier River watershed, as the case may be, shall be eligible for grant funding by funds generated by the infrastructure lottery revenue bonds described in subsection (b) of this section. At the request of the applicant, the remaining percentage of project funding not otherwise funded by grant under the provisions of this article may be reviewed as a standard project funding application.</w:t>
      </w:r>
    </w:p>
    <w:p w14:paraId="7E857CAE" w14:textId="1B912F1C" w:rsidR="001B693D" w:rsidRPr="001B693D" w:rsidRDefault="001B693D" w:rsidP="006E4C3B">
      <w:pPr>
        <w:pStyle w:val="SectionBody"/>
        <w:widowControl/>
      </w:pPr>
      <w:r w:rsidRPr="001B693D">
        <w:t xml:space="preserve">(f) Eligible projects that have obtained project financing prior to December 31, 2012, may apply to the council for funding under the provisions of this section. These applications shall be processed and considered as all other eligible projects, and a grant funding awarded shall, to the extent allowed by law, be dedicated to </w:t>
      </w:r>
      <w:proofErr w:type="gramStart"/>
      <w:r w:rsidRPr="001B693D">
        <w:t>prepay</w:t>
      </w:r>
      <w:proofErr w:type="gramEnd"/>
      <w:r w:rsidRPr="001B693D">
        <w:t xml:space="preserve"> all or a portion of debt previously incurred by governmental instrumentalities of the state for required Chesapeake Bay nutrient removal projects or Greenbrier River watershed fecal coliform and phosphorus removal projects, subject to the bond covenants and contractual obligations of the borrowing governmental entity. However, any private portion of funding provided by agreement between a political subdivision and one or more private entities, either by direct capital investment or debt service obligation, shall not be eligible for grant funding under the provisions of this article.</w:t>
      </w:r>
    </w:p>
    <w:p w14:paraId="620D1871" w14:textId="77777777" w:rsidR="001B693D" w:rsidRPr="001B693D" w:rsidRDefault="001B693D" w:rsidP="006E4C3B">
      <w:pPr>
        <w:pStyle w:val="ArticleHeading"/>
        <w:widowControl/>
        <w:ind w:left="0" w:firstLine="0"/>
      </w:pPr>
      <w:r w:rsidRPr="001B693D">
        <w:t>ARTICLE 18. WEST VIRGINIA HOUSING DEVELOPMENT FUND.</w:t>
      </w:r>
    </w:p>
    <w:p w14:paraId="2B6FA35C" w14:textId="77777777" w:rsidR="001B693D" w:rsidRPr="001B693D" w:rsidRDefault="001B693D" w:rsidP="006E4C3B">
      <w:pPr>
        <w:pStyle w:val="SectionHeading"/>
        <w:widowControl/>
        <w:sectPr w:rsidR="001B693D" w:rsidRPr="001B693D" w:rsidSect="00DD58B3">
          <w:footerReference w:type="default" r:id="rId34"/>
          <w:type w:val="continuous"/>
          <w:pgSz w:w="12240" w:h="15840" w:code="1"/>
          <w:pgMar w:top="1440" w:right="1440" w:bottom="1440" w:left="1440" w:header="720" w:footer="720" w:gutter="0"/>
          <w:lnNumType w:countBy="1" w:restart="newSection"/>
          <w:cols w:space="720"/>
          <w:docGrid w:linePitch="360"/>
        </w:sectPr>
      </w:pPr>
      <w:r w:rsidRPr="001B693D">
        <w:t>§31-18-24. Annual audit; reports to Joint Committee on Government and Finance; information to joint committee or legislative auditor.</w:t>
      </w:r>
    </w:p>
    <w:p w14:paraId="74DAC102" w14:textId="77777777" w:rsidR="001B693D" w:rsidRPr="001B693D" w:rsidRDefault="001B693D" w:rsidP="006E4C3B">
      <w:pPr>
        <w:pStyle w:val="SectionBody"/>
        <w:widowControl/>
      </w:pPr>
      <w:r w:rsidRPr="001B693D">
        <w:t xml:space="preserve">The Housing Development Fund shall cause an annual audit to be made by an independent certified public accountant of its books, accounts, and records, with respect to its receipts, disbursements, contracts, mortgages, leases, assignments, loans, and all other matters relating to its financial operations, including those of the Operating Loan Fund, the Land Development Fund, and the Mortgage Finance Bond Insurance Fund. The person performing such audit shall furnish copies of the audit report to the commissioner of finance and administration, where they shall be placed on file and made available for inspection by the </w:t>
      </w:r>
      <w:proofErr w:type="gramStart"/>
      <w:r w:rsidRPr="001B693D">
        <w:t>general public</w:t>
      </w:r>
      <w:proofErr w:type="gramEnd"/>
      <w:r w:rsidRPr="001B693D">
        <w:t>. The person performing such audit shall also furnish copies of the audit report to the Speaker of the House of Delegates, the President of the Senate, and the majority and minority leaders of both houses. The audit report shall be transmitted to the Speaker of the House of Delegates, the President of the Senate, and the majority and minority leaders of both houses of the Legislature electronically. Further, the report shall be provided to the legislative librarian to be posted to the legislative website. No hard copy of the audit report shall be issued; however, upon request a hard copy shall be provided.</w:t>
      </w:r>
    </w:p>
    <w:p w14:paraId="072B5999" w14:textId="77777777" w:rsidR="001B693D" w:rsidRPr="001B693D" w:rsidRDefault="001B693D" w:rsidP="006E4C3B">
      <w:pPr>
        <w:pStyle w:val="SectionBody"/>
        <w:widowControl/>
      </w:pPr>
      <w:r w:rsidRPr="001B693D">
        <w:t xml:space="preserve">In addition to the foregoing annual audit report, the Housing Development Fund shall also render every six months to the Joint Committee on Government and Finance a report setting forth in detail a complete analysis of the activities, indebtedness, receipts, and financial affairs of such fund and the Operating Loan Fund, the Land Development Fund, Affordable Housing Fund, and the Mortgage Finance Bond Insurance Fund. Upon demand, the Housing Development Fund shall also submit to the Joint Committee on Government and </w:t>
      </w:r>
      <w:proofErr w:type="gramStart"/>
      <w:r w:rsidRPr="001B693D">
        <w:t>Finance</w:t>
      </w:r>
      <w:proofErr w:type="gramEnd"/>
      <w:r w:rsidRPr="001B693D">
        <w:t xml:space="preserve"> or the Legislative Auditor any other information requested by such committee or the Legislative Auditor. The report shall be available electronically only, and no hard copy of the report shall be issued; however, upon request a hard copy shall be provided.</w:t>
      </w:r>
    </w:p>
    <w:p w14:paraId="2518FD67" w14:textId="77777777" w:rsidR="001B693D" w:rsidRPr="001B693D" w:rsidRDefault="001B693D" w:rsidP="006E4C3B">
      <w:pPr>
        <w:pStyle w:val="ChapterHeading"/>
        <w:widowControl/>
      </w:pPr>
      <w:r w:rsidRPr="001B693D">
        <w:t>CHAPTER 33.  INSURANCE.</w:t>
      </w:r>
    </w:p>
    <w:p w14:paraId="4ABE2272" w14:textId="77777777" w:rsidR="001B693D" w:rsidRPr="001B693D" w:rsidRDefault="001B693D" w:rsidP="006E4C3B">
      <w:pPr>
        <w:pStyle w:val="ArticleHeading"/>
        <w:widowControl/>
      </w:pPr>
      <w:r w:rsidRPr="001B693D">
        <w:t>ARTICLE 25A. HEALTH MAINTENANCE ORGANIZATION ACT.</w:t>
      </w:r>
    </w:p>
    <w:p w14:paraId="7B3C5AEF" w14:textId="77777777" w:rsidR="001B693D" w:rsidRPr="001B693D" w:rsidRDefault="001B693D" w:rsidP="006E4C3B">
      <w:pPr>
        <w:pStyle w:val="SectionHeading"/>
        <w:widowControl/>
        <w:sectPr w:rsidR="001B693D" w:rsidRPr="001B693D" w:rsidSect="00DD58B3">
          <w:footerReference w:type="default" r:id="rId35"/>
          <w:type w:val="continuous"/>
          <w:pgSz w:w="12240" w:h="15840"/>
          <w:pgMar w:top="1440" w:right="1440" w:bottom="1440" w:left="1440" w:header="720" w:footer="720" w:gutter="0"/>
          <w:lnNumType w:countBy="1" w:restart="newSection"/>
          <w:cols w:space="720"/>
          <w:noEndnote/>
          <w:docGrid w:linePitch="326"/>
        </w:sectPr>
      </w:pPr>
      <w:r w:rsidRPr="001B693D">
        <w:t>§33-25A-35. Rural health maintenance organizations.</w:t>
      </w:r>
    </w:p>
    <w:p w14:paraId="557975C3" w14:textId="77777777" w:rsidR="001B693D" w:rsidRPr="001B693D" w:rsidRDefault="001B693D" w:rsidP="006E4C3B">
      <w:pPr>
        <w:pStyle w:val="SectionBody"/>
        <w:widowControl/>
      </w:pPr>
      <w:r w:rsidRPr="001B693D">
        <w:t>[Repealed.]</w:t>
      </w:r>
    </w:p>
    <w:p w14:paraId="2FA7AC42" w14:textId="77777777" w:rsidR="001B693D" w:rsidRPr="001B693D" w:rsidRDefault="001B693D" w:rsidP="006E4C3B">
      <w:pPr>
        <w:pStyle w:val="ChapterHeading"/>
        <w:widowControl/>
      </w:pPr>
      <w:r w:rsidRPr="001B693D">
        <w:t>CHAPTER 49. CHILD WELFARE</w:t>
      </w:r>
    </w:p>
    <w:p w14:paraId="4E882177" w14:textId="77777777" w:rsidR="001B693D" w:rsidRPr="001B693D" w:rsidRDefault="001B693D" w:rsidP="006E4C3B">
      <w:pPr>
        <w:pStyle w:val="ArticleHeading"/>
        <w:widowControl/>
      </w:pPr>
      <w:r w:rsidRPr="001B693D">
        <w:t>ARTICLE 2. STATE RESPONSIBILITIES FOR CHILDREN.</w:t>
      </w:r>
    </w:p>
    <w:p w14:paraId="5778A2A1" w14:textId="77777777" w:rsidR="001B693D" w:rsidRPr="001B693D" w:rsidRDefault="001B693D" w:rsidP="006E4C3B">
      <w:pPr>
        <w:pStyle w:val="SectionHeading"/>
        <w:widowControl/>
      </w:pPr>
      <w:r w:rsidRPr="001B693D">
        <w:t>§49-2-604. Program administration; implementation; procedures; annual evaluation; coordination; plans; grievances; reports.</w:t>
      </w:r>
    </w:p>
    <w:p w14:paraId="4A03D081" w14:textId="77777777" w:rsidR="001B693D" w:rsidRPr="001B693D" w:rsidRDefault="001B693D" w:rsidP="006E4C3B">
      <w:pPr>
        <w:rPr>
          <w:rFonts w:eastAsia="Calibri"/>
          <w:b/>
          <w:color w:val="000000"/>
        </w:rPr>
        <w:sectPr w:rsidR="001B693D" w:rsidRPr="001B693D" w:rsidSect="002F0D87">
          <w:type w:val="continuous"/>
          <w:pgSz w:w="12240" w:h="15840"/>
          <w:pgMar w:top="1440" w:right="1440" w:bottom="1440" w:left="1440" w:header="720" w:footer="720" w:gutter="0"/>
          <w:lnNumType w:countBy="1" w:restart="newSection"/>
          <w:cols w:space="720"/>
          <w:docGrid w:linePitch="299"/>
        </w:sectPr>
      </w:pPr>
    </w:p>
    <w:p w14:paraId="0F62D2C9" w14:textId="77777777" w:rsidR="001B693D" w:rsidRPr="001B693D" w:rsidRDefault="001B693D" w:rsidP="006E4C3B">
      <w:pPr>
        <w:pStyle w:val="SectionBody"/>
        <w:widowControl/>
      </w:pPr>
      <w:r w:rsidRPr="001B693D">
        <w:t>(a) The administering agency for the family support program is the Department of Health and Human Resources.</w:t>
      </w:r>
    </w:p>
    <w:p w14:paraId="5D3D2E67" w14:textId="2359C49F" w:rsidR="001B693D" w:rsidRPr="001B693D" w:rsidRDefault="001B693D" w:rsidP="006E4C3B">
      <w:pPr>
        <w:pStyle w:val="SectionBody"/>
        <w:widowControl/>
      </w:pPr>
      <w:r w:rsidRPr="001B693D">
        <w:t>(b) The Department of Health and Human Resources shall initially implement the family support program through contracts with an agency within four of the state</w:t>
      </w:r>
      <w:r w:rsidR="004A376A">
        <w:t>’</w:t>
      </w:r>
      <w:r w:rsidRPr="001B693D">
        <w:t>s behavioral health regions, with the four regions to be determined by the Department of Health and Human Resources in consultation with the state family support council. These regional family support agencies of the family support program will be responsible for implementing this article and subsequent policies for the families of persons with developmental disabilities residing within their respective regions.</w:t>
      </w:r>
    </w:p>
    <w:p w14:paraId="0F2A06E7" w14:textId="77777777" w:rsidR="001B693D" w:rsidRPr="001B693D" w:rsidRDefault="001B693D" w:rsidP="006E4C3B">
      <w:pPr>
        <w:pStyle w:val="SectionBody"/>
        <w:widowControl/>
      </w:pPr>
      <w:r w:rsidRPr="001B693D">
        <w:t>(c) The Department of Health and Human Resources, in conjunction with the state family support council, shall adopt policies and procedures regarding:</w:t>
      </w:r>
    </w:p>
    <w:p w14:paraId="5A578B75" w14:textId="77777777" w:rsidR="001B693D" w:rsidRPr="001B693D" w:rsidRDefault="001B693D" w:rsidP="006E4C3B">
      <w:pPr>
        <w:pStyle w:val="SectionBody"/>
        <w:widowControl/>
      </w:pPr>
      <w:r w:rsidRPr="001B693D">
        <w:t>(1) Development of annual budgets;</w:t>
      </w:r>
    </w:p>
    <w:p w14:paraId="6B8DE28A" w14:textId="77777777" w:rsidR="001B693D" w:rsidRPr="001B693D" w:rsidRDefault="001B693D" w:rsidP="006E4C3B">
      <w:pPr>
        <w:pStyle w:val="SectionBody"/>
        <w:widowControl/>
      </w:pPr>
      <w:r w:rsidRPr="001B693D">
        <w:t>(2) Program specifications;</w:t>
      </w:r>
    </w:p>
    <w:p w14:paraId="3D38BC92" w14:textId="77777777" w:rsidR="001B693D" w:rsidRPr="001B693D" w:rsidRDefault="001B693D" w:rsidP="006E4C3B">
      <w:pPr>
        <w:pStyle w:val="SectionBody"/>
        <w:widowControl/>
      </w:pPr>
      <w:r w:rsidRPr="001B693D">
        <w:t>(3) Criteria for awarding contracts for operation of regional family support programs and the role of regional family support councils;</w:t>
      </w:r>
    </w:p>
    <w:p w14:paraId="44A7115E" w14:textId="77777777" w:rsidR="001B693D" w:rsidRPr="001B693D" w:rsidRDefault="001B693D" w:rsidP="006E4C3B">
      <w:pPr>
        <w:pStyle w:val="SectionBody"/>
        <w:widowControl/>
      </w:pPr>
      <w:r w:rsidRPr="001B693D">
        <w:t>(4) Annual evaluation of services provided by each regional family support agency, including consumer satisfaction;</w:t>
      </w:r>
    </w:p>
    <w:p w14:paraId="5852254E" w14:textId="77777777" w:rsidR="001B693D" w:rsidRPr="001B693D" w:rsidRDefault="001B693D" w:rsidP="006E4C3B">
      <w:pPr>
        <w:pStyle w:val="SectionBody"/>
        <w:widowControl/>
      </w:pPr>
      <w:r w:rsidRPr="001B693D">
        <w:t>(5) Coordination of the family support program and the use of its funds, throughout the state and within each region, with other publicly funded programs, including Medicaid;</w:t>
      </w:r>
    </w:p>
    <w:p w14:paraId="626DF93A" w14:textId="77777777" w:rsidR="001B693D" w:rsidRPr="001B693D" w:rsidRDefault="001B693D" w:rsidP="006E4C3B">
      <w:pPr>
        <w:pStyle w:val="SectionBody"/>
        <w:widowControl/>
      </w:pPr>
      <w:r w:rsidRPr="001B693D">
        <w:t>(6) Performance of family needs assessments and development of family service plans;</w:t>
      </w:r>
    </w:p>
    <w:p w14:paraId="2FFF0262" w14:textId="77777777" w:rsidR="001B693D" w:rsidRPr="001B693D" w:rsidRDefault="001B693D" w:rsidP="006E4C3B">
      <w:pPr>
        <w:pStyle w:val="SectionBody"/>
        <w:widowControl/>
      </w:pPr>
      <w:r w:rsidRPr="001B693D">
        <w:t>(7) Methodology for allocating resources to families within the funds available; and</w:t>
      </w:r>
    </w:p>
    <w:p w14:paraId="3C7FB12F" w14:textId="77777777" w:rsidR="00895337" w:rsidRDefault="001B693D" w:rsidP="006E4C3B">
      <w:pPr>
        <w:pStyle w:val="SectionBody"/>
        <w:widowControl/>
        <w:sectPr w:rsidR="00895337" w:rsidSect="00847E5A">
          <w:footerReference w:type="default" r:id="rId36"/>
          <w:type w:val="continuous"/>
          <w:pgSz w:w="12240" w:h="15840" w:code="1"/>
          <w:pgMar w:top="1440" w:right="1440" w:bottom="1440" w:left="1440" w:header="720" w:footer="720" w:gutter="0"/>
          <w:lnNumType w:countBy="1" w:restart="newSection"/>
          <w:cols w:space="720"/>
          <w:titlePg/>
          <w:docGrid w:linePitch="360"/>
        </w:sectPr>
      </w:pPr>
      <w:r w:rsidRPr="001B693D">
        <w:t>(8) Resolution of grievances filed by families pertaining to actions of the family support program.</w:t>
      </w:r>
    </w:p>
    <w:p w14:paraId="320C725B" w14:textId="77777777" w:rsidR="00895337" w:rsidRDefault="00895337" w:rsidP="006E4C3B">
      <w:pPr>
        <w:pStyle w:val="SectionBody"/>
        <w:widowControl/>
        <w:sectPr w:rsidR="00895337" w:rsidSect="00895337">
          <w:pgSz w:w="12240" w:h="15840" w:code="1"/>
          <w:pgMar w:top="1440" w:right="1440" w:bottom="1440" w:left="1440" w:header="720" w:footer="720" w:gutter="0"/>
          <w:cols w:space="720"/>
          <w:titlePg/>
          <w:docGrid w:linePitch="360"/>
        </w:sectPr>
      </w:pPr>
    </w:p>
    <w:p w14:paraId="26C115D1" w14:textId="77777777" w:rsidR="00895337" w:rsidRPr="00227EB7" w:rsidRDefault="00895337" w:rsidP="00895337">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86EBF34" w14:textId="77777777" w:rsidR="00895337" w:rsidRPr="00227EB7" w:rsidRDefault="00895337" w:rsidP="00895337">
      <w:pPr>
        <w:pStyle w:val="SectionBody"/>
        <w:spacing w:line="240" w:lineRule="auto"/>
        <w:rPr>
          <w:rFonts w:cs="Arial"/>
        </w:rPr>
      </w:pPr>
    </w:p>
    <w:p w14:paraId="2BAA0449" w14:textId="77777777" w:rsidR="00895337" w:rsidRPr="00227EB7" w:rsidRDefault="00895337" w:rsidP="00895337">
      <w:pPr>
        <w:spacing w:line="240" w:lineRule="auto"/>
        <w:ind w:left="720" w:right="720" w:firstLine="180"/>
        <w:rPr>
          <w:rFonts w:cs="Arial"/>
        </w:rPr>
      </w:pPr>
    </w:p>
    <w:p w14:paraId="3473288E" w14:textId="77777777" w:rsidR="00895337" w:rsidRPr="00227EB7" w:rsidRDefault="00895337" w:rsidP="00895337">
      <w:pPr>
        <w:spacing w:line="240" w:lineRule="auto"/>
        <w:ind w:left="720" w:right="720"/>
        <w:rPr>
          <w:rFonts w:cs="Arial"/>
        </w:rPr>
      </w:pPr>
      <w:r w:rsidRPr="00227EB7">
        <w:rPr>
          <w:rFonts w:cs="Arial"/>
        </w:rPr>
        <w:t>...............................................................</w:t>
      </w:r>
    </w:p>
    <w:p w14:paraId="40E7A6BA" w14:textId="77777777" w:rsidR="00895337" w:rsidRPr="00227EB7" w:rsidRDefault="00895337" w:rsidP="0089533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1F410EE" w14:textId="77777777" w:rsidR="00895337" w:rsidRPr="00227EB7" w:rsidRDefault="00895337" w:rsidP="00895337">
      <w:pPr>
        <w:spacing w:line="240" w:lineRule="auto"/>
        <w:ind w:left="720" w:right="720"/>
        <w:rPr>
          <w:rFonts w:cs="Arial"/>
        </w:rPr>
      </w:pPr>
    </w:p>
    <w:p w14:paraId="5B3A2864" w14:textId="77777777" w:rsidR="00895337" w:rsidRPr="00227EB7" w:rsidRDefault="00895337" w:rsidP="00895337">
      <w:pPr>
        <w:spacing w:line="240" w:lineRule="auto"/>
        <w:ind w:left="720" w:right="720"/>
        <w:rPr>
          <w:rFonts w:cs="Arial"/>
        </w:rPr>
      </w:pPr>
    </w:p>
    <w:p w14:paraId="612C6B6E" w14:textId="77777777" w:rsidR="00895337" w:rsidRPr="00227EB7" w:rsidRDefault="00895337" w:rsidP="008953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0223268" w14:textId="77777777" w:rsidR="00895337" w:rsidRPr="00227EB7" w:rsidRDefault="00895337" w:rsidP="0089533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AF47249" w14:textId="77777777" w:rsidR="00895337" w:rsidRPr="00227EB7" w:rsidRDefault="00895337" w:rsidP="008953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ED11E55" w14:textId="77777777" w:rsidR="00895337" w:rsidRPr="00227EB7" w:rsidRDefault="00895337" w:rsidP="008953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857380" w14:textId="77777777" w:rsidR="00895337" w:rsidRPr="00227EB7" w:rsidRDefault="00895337" w:rsidP="008953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5ACE06C" w14:textId="77777777" w:rsidR="00895337" w:rsidRPr="00227EB7" w:rsidRDefault="00895337" w:rsidP="008953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2A70CB" w14:textId="0BE4D6C6" w:rsidR="00895337" w:rsidRPr="00227EB7" w:rsidRDefault="00895337" w:rsidP="00895337">
      <w:pPr>
        <w:spacing w:line="240" w:lineRule="auto"/>
        <w:ind w:left="720" w:right="720"/>
        <w:rPr>
          <w:rFonts w:cs="Arial"/>
        </w:rPr>
      </w:pPr>
      <w:r w:rsidRPr="00227EB7">
        <w:rPr>
          <w:rFonts w:cs="Arial"/>
        </w:rPr>
        <w:t>In effect from passage.</w:t>
      </w:r>
    </w:p>
    <w:p w14:paraId="5B35E241" w14:textId="77777777" w:rsidR="00895337" w:rsidRPr="00227EB7" w:rsidRDefault="00895337" w:rsidP="008953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35AE88" w14:textId="77777777" w:rsidR="00895337" w:rsidRPr="00227EB7" w:rsidRDefault="00895337" w:rsidP="008953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7565DB"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5D16337" w14:textId="77777777" w:rsidR="00895337" w:rsidRPr="00227EB7" w:rsidRDefault="00895337" w:rsidP="00895337">
      <w:pPr>
        <w:tabs>
          <w:tab w:val="center" w:pos="2610"/>
        </w:tabs>
        <w:spacing w:line="240" w:lineRule="auto"/>
        <w:ind w:right="720"/>
        <w:rPr>
          <w:rFonts w:cs="Arial"/>
        </w:rPr>
      </w:pPr>
      <w:r w:rsidRPr="00227EB7">
        <w:rPr>
          <w:rFonts w:cs="Arial"/>
          <w:i/>
          <w:iCs/>
        </w:rPr>
        <w:tab/>
        <w:t>Clerk of the House of Delegates</w:t>
      </w:r>
    </w:p>
    <w:p w14:paraId="2CD81AF6"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8F0B02"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A63C0A"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75A56A0" w14:textId="77777777" w:rsidR="00895337" w:rsidRPr="00227EB7" w:rsidRDefault="00895337" w:rsidP="00895337">
      <w:pPr>
        <w:tabs>
          <w:tab w:val="left" w:pos="-1255"/>
          <w:tab w:val="left" w:pos="-720"/>
          <w:tab w:val="center" w:pos="3960"/>
        </w:tabs>
        <w:spacing w:line="240" w:lineRule="auto"/>
        <w:ind w:right="720"/>
        <w:rPr>
          <w:rFonts w:cs="Arial"/>
        </w:rPr>
      </w:pPr>
      <w:r w:rsidRPr="00227EB7">
        <w:rPr>
          <w:rFonts w:cs="Arial"/>
          <w:i/>
          <w:iCs/>
        </w:rPr>
        <w:tab/>
        <w:t>Clerk of the Senate</w:t>
      </w:r>
    </w:p>
    <w:p w14:paraId="4FBA0FDE"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FF8606"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C56DDE"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914C7BF" w14:textId="77777777" w:rsidR="00895337" w:rsidRPr="00227EB7" w:rsidRDefault="00895337" w:rsidP="0089533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D3FCC05"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82A94B"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A5750A"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487F5D3" w14:textId="77777777" w:rsidR="00895337" w:rsidRPr="00227EB7" w:rsidRDefault="00895337" w:rsidP="00895337">
      <w:pPr>
        <w:tabs>
          <w:tab w:val="center" w:pos="6210"/>
        </w:tabs>
        <w:spacing w:line="240" w:lineRule="auto"/>
        <w:ind w:right="720"/>
        <w:rPr>
          <w:rFonts w:cs="Arial"/>
        </w:rPr>
      </w:pPr>
      <w:r w:rsidRPr="00227EB7">
        <w:rPr>
          <w:rFonts w:cs="Arial"/>
        </w:rPr>
        <w:tab/>
      </w:r>
      <w:r w:rsidRPr="00227EB7">
        <w:rPr>
          <w:rFonts w:cs="Arial"/>
          <w:i/>
          <w:iCs/>
        </w:rPr>
        <w:t>President of the Senate</w:t>
      </w:r>
    </w:p>
    <w:p w14:paraId="0EEE566E"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7664F8"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0C61FA" w14:textId="77777777" w:rsidR="00895337" w:rsidRPr="00227EB7" w:rsidRDefault="00895337" w:rsidP="008953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3176C2A" w14:textId="77777777" w:rsidR="00895337" w:rsidRPr="00227EB7" w:rsidRDefault="00895337" w:rsidP="00895337">
      <w:pPr>
        <w:spacing w:line="240" w:lineRule="auto"/>
        <w:ind w:right="720"/>
        <w:jc w:val="both"/>
        <w:rPr>
          <w:rFonts w:cs="Arial"/>
        </w:rPr>
      </w:pPr>
    </w:p>
    <w:p w14:paraId="649D77E0" w14:textId="77777777" w:rsidR="00895337" w:rsidRPr="00227EB7" w:rsidRDefault="00895337" w:rsidP="00895337">
      <w:pPr>
        <w:spacing w:line="240" w:lineRule="auto"/>
        <w:ind w:right="720"/>
        <w:jc w:val="both"/>
        <w:rPr>
          <w:rFonts w:cs="Arial"/>
        </w:rPr>
      </w:pPr>
    </w:p>
    <w:p w14:paraId="080CA684" w14:textId="77777777" w:rsidR="00895337" w:rsidRPr="00227EB7" w:rsidRDefault="00895337" w:rsidP="00895337">
      <w:pPr>
        <w:spacing w:line="240" w:lineRule="auto"/>
        <w:ind w:left="720" w:right="720"/>
        <w:jc w:val="both"/>
        <w:rPr>
          <w:rFonts w:cs="Arial"/>
        </w:rPr>
      </w:pPr>
    </w:p>
    <w:p w14:paraId="685CDD22" w14:textId="77777777" w:rsidR="00895337" w:rsidRPr="00227EB7" w:rsidRDefault="00895337" w:rsidP="00895337">
      <w:pPr>
        <w:tabs>
          <w:tab w:val="left" w:pos="1080"/>
        </w:tabs>
        <w:spacing w:line="240" w:lineRule="auto"/>
        <w:ind w:left="720" w:right="720"/>
        <w:jc w:val="both"/>
        <w:rPr>
          <w:rFonts w:cs="Arial"/>
        </w:rPr>
      </w:pPr>
      <w:r w:rsidRPr="00227EB7">
        <w:rPr>
          <w:rFonts w:cs="Arial"/>
        </w:rPr>
        <w:tab/>
        <w:t>The within ................................................... this the...........................................</w:t>
      </w:r>
    </w:p>
    <w:p w14:paraId="4D9C509F" w14:textId="77777777" w:rsidR="00895337" w:rsidRPr="00227EB7" w:rsidRDefault="00895337" w:rsidP="00895337">
      <w:pPr>
        <w:tabs>
          <w:tab w:val="left" w:pos="1080"/>
        </w:tabs>
        <w:spacing w:line="240" w:lineRule="auto"/>
        <w:ind w:left="720" w:right="720"/>
        <w:jc w:val="both"/>
        <w:rPr>
          <w:rFonts w:cs="Arial"/>
        </w:rPr>
      </w:pPr>
    </w:p>
    <w:p w14:paraId="00CDB37D" w14:textId="77777777" w:rsidR="00895337" w:rsidRPr="00227EB7" w:rsidRDefault="00895337" w:rsidP="00895337">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E6B8013" w14:textId="77777777" w:rsidR="00895337" w:rsidRPr="00227EB7" w:rsidRDefault="00895337" w:rsidP="00895337">
      <w:pPr>
        <w:spacing w:line="240" w:lineRule="auto"/>
        <w:ind w:left="720" w:right="720"/>
        <w:jc w:val="both"/>
        <w:rPr>
          <w:rFonts w:cs="Arial"/>
        </w:rPr>
      </w:pPr>
    </w:p>
    <w:p w14:paraId="2D1D458D" w14:textId="77777777" w:rsidR="00895337" w:rsidRPr="00227EB7" w:rsidRDefault="00895337" w:rsidP="00895337">
      <w:pPr>
        <w:spacing w:line="240" w:lineRule="auto"/>
        <w:ind w:left="720" w:right="720"/>
        <w:jc w:val="both"/>
        <w:rPr>
          <w:rFonts w:cs="Arial"/>
        </w:rPr>
      </w:pPr>
    </w:p>
    <w:p w14:paraId="5701FFC6" w14:textId="77777777" w:rsidR="00895337" w:rsidRPr="00227EB7" w:rsidRDefault="00895337" w:rsidP="0089533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2BE28B3" w14:textId="77777777" w:rsidR="00895337" w:rsidRPr="0089333F" w:rsidRDefault="00895337" w:rsidP="0089533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504885D" w14:textId="7E4ED9F4" w:rsidR="00E831B3" w:rsidRPr="001B693D" w:rsidRDefault="00E831B3" w:rsidP="006E4C3B">
      <w:pPr>
        <w:pStyle w:val="SectionBody"/>
        <w:widowControl/>
      </w:pPr>
    </w:p>
    <w:sectPr w:rsidR="00E831B3" w:rsidRPr="001B693D" w:rsidSect="00835BE9">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F48B" w14:textId="77777777" w:rsidR="009C1A20" w:rsidRPr="00B844FE" w:rsidRDefault="009C1A20" w:rsidP="00B844FE">
      <w:r>
        <w:separator/>
      </w:r>
    </w:p>
  </w:endnote>
  <w:endnote w:type="continuationSeparator" w:id="0">
    <w:p w14:paraId="3356E794" w14:textId="77777777" w:rsidR="009C1A20" w:rsidRPr="00B844FE" w:rsidRDefault="009C1A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5E87" w14:textId="77777777" w:rsidR="00847E5A" w:rsidRDefault="00847E5A" w:rsidP="007777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448C4" w14:textId="77777777" w:rsidR="00847E5A" w:rsidRPr="00847E5A" w:rsidRDefault="00847E5A" w:rsidP="00847E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679C"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F80B564" w14:textId="77777777" w:rsidR="001B693D" w:rsidRPr="00F20724" w:rsidRDefault="001B693D" w:rsidP="00F207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E8B3"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F2FF9E4" w14:textId="77777777" w:rsidR="001B693D" w:rsidRPr="00F20724" w:rsidRDefault="001B693D" w:rsidP="00F2072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6BDB"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15D7187" w14:textId="77777777" w:rsidR="001B693D" w:rsidRPr="00F20724" w:rsidRDefault="001B693D" w:rsidP="00F207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143"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43AA7E4" w14:textId="77777777" w:rsidR="001B693D" w:rsidRPr="00F20724" w:rsidRDefault="001B693D" w:rsidP="00F2072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558D"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DB1C85B" w14:textId="77777777" w:rsidR="001B693D" w:rsidRPr="00F20724" w:rsidRDefault="001B693D" w:rsidP="00F2072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5C31"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C5CA295" w14:textId="77777777" w:rsidR="001B693D" w:rsidRPr="00F20724" w:rsidRDefault="001B693D" w:rsidP="00F2072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934A"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5438713" w14:textId="77777777" w:rsidR="001B693D" w:rsidRPr="00F20724" w:rsidRDefault="001B693D" w:rsidP="00F2072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4CE5"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92DE440" w14:textId="77777777" w:rsidR="001B693D" w:rsidRPr="00F20724" w:rsidRDefault="001B693D" w:rsidP="00F2072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0B83"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96A8DE8" w14:textId="77777777" w:rsidR="001B693D" w:rsidRPr="00F20724" w:rsidRDefault="001B693D" w:rsidP="00F2072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4EAF"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D596E5B" w14:textId="77777777" w:rsidR="001B693D" w:rsidRPr="00F20724" w:rsidRDefault="001B693D" w:rsidP="00F2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25634"/>
      <w:docPartObj>
        <w:docPartGallery w:val="Page Numbers (Bottom of Page)"/>
        <w:docPartUnique/>
      </w:docPartObj>
    </w:sdtPr>
    <w:sdtEndPr>
      <w:rPr>
        <w:noProof/>
      </w:rPr>
    </w:sdtEndPr>
    <w:sdtContent>
      <w:p w14:paraId="7FB70574" w14:textId="16AF18C1" w:rsidR="00114C35" w:rsidRDefault="00114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FE2"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751C80F" w14:textId="77777777" w:rsidR="001B693D" w:rsidRPr="00F20724" w:rsidRDefault="001B693D" w:rsidP="00F2072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A3F6"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69FFDCA" w14:textId="77777777" w:rsidR="001B693D" w:rsidRPr="00F20724" w:rsidRDefault="001B693D" w:rsidP="00F2072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22718"/>
      <w:docPartObj>
        <w:docPartGallery w:val="Page Numbers (Bottom of Page)"/>
        <w:docPartUnique/>
      </w:docPartObj>
    </w:sdtPr>
    <w:sdtEndPr>
      <w:rPr>
        <w:noProof/>
      </w:rPr>
    </w:sdtEndPr>
    <w:sdtContent>
      <w:p w14:paraId="4BD1ABFA" w14:textId="5A2BCF16" w:rsidR="00D95E3E" w:rsidRDefault="00D95E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46D0B63F" w14:textId="77777777" w:rsidR="00A81734" w:rsidRDefault="00415C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331185"/>
      <w:docPartObj>
        <w:docPartGallery w:val="Page Numbers (Bottom of Page)"/>
        <w:docPartUnique/>
      </w:docPartObj>
    </w:sdtPr>
    <w:sdtEndPr>
      <w:rPr>
        <w:noProof/>
      </w:rPr>
    </w:sdtEndPr>
    <w:sdtContent>
      <w:p w14:paraId="141DC46A" w14:textId="37B68CD3" w:rsidR="009403D7" w:rsidRDefault="00940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F20F"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66F56E" w14:textId="77777777" w:rsidR="001B693D" w:rsidRPr="00F20724" w:rsidRDefault="001B693D" w:rsidP="00F207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2973"/>
      <w:docPartObj>
        <w:docPartGallery w:val="Page Numbers (Bottom of Page)"/>
        <w:docPartUnique/>
      </w:docPartObj>
    </w:sdtPr>
    <w:sdtEndPr>
      <w:rPr>
        <w:noProof/>
      </w:rPr>
    </w:sdtEndPr>
    <w:sdtContent>
      <w:p w14:paraId="68D95A96" w14:textId="29019434" w:rsidR="00114C35" w:rsidRDefault="00114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9948"/>
      <w:docPartObj>
        <w:docPartGallery w:val="Page Numbers (Bottom of Page)"/>
        <w:docPartUnique/>
      </w:docPartObj>
    </w:sdtPr>
    <w:sdtEndPr>
      <w:rPr>
        <w:noProof/>
      </w:rPr>
    </w:sdtEndPr>
    <w:sdtContent>
      <w:p w14:paraId="13745005" w14:textId="77777777" w:rsidR="009403D7" w:rsidRDefault="00940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FED3"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2019DE6" w14:textId="77777777" w:rsidR="001B693D" w:rsidRPr="00F20724" w:rsidRDefault="001B693D" w:rsidP="00F207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55E"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C361BDC" w14:textId="77777777" w:rsidR="001B693D" w:rsidRPr="00F20724" w:rsidRDefault="001B693D" w:rsidP="00F207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275B" w14:textId="77777777" w:rsidR="001B693D" w:rsidRDefault="001B693D" w:rsidP="00DD5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3F87F5D" w14:textId="77777777" w:rsidR="001B693D" w:rsidRPr="00F20724" w:rsidRDefault="001B693D" w:rsidP="00F2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F82F" w14:textId="77777777" w:rsidR="009C1A20" w:rsidRPr="00B844FE" w:rsidRDefault="009C1A20" w:rsidP="00B844FE">
      <w:r>
        <w:separator/>
      </w:r>
    </w:p>
  </w:footnote>
  <w:footnote w:type="continuationSeparator" w:id="0">
    <w:p w14:paraId="4E0F4477" w14:textId="77777777" w:rsidR="009C1A20" w:rsidRPr="00B844FE" w:rsidRDefault="009C1A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DD5A" w14:textId="02D8FD41" w:rsidR="00847E5A" w:rsidRPr="00847E5A" w:rsidRDefault="00847E5A" w:rsidP="00847E5A">
    <w:pPr>
      <w:pStyle w:val="Header"/>
    </w:pPr>
    <w:r>
      <w:t>CS for HB 4067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9509" w14:textId="416885B9" w:rsidR="00847E5A" w:rsidRPr="00847E5A" w:rsidRDefault="006E4C3B" w:rsidP="00847E5A">
    <w:pPr>
      <w:pStyle w:val="Header"/>
    </w:pPr>
    <w:proofErr w:type="spellStart"/>
    <w:r>
      <w:t>Enr</w:t>
    </w:r>
    <w:proofErr w:type="spellEnd"/>
    <w:r>
      <w:t xml:space="preserve"> </w:t>
    </w:r>
    <w:r w:rsidR="00847E5A">
      <w:t>CS for HB 4067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FF5E" w14:textId="7C9BA3F8" w:rsidR="00A81734" w:rsidRDefault="00415C2A">
    <w:pPr>
      <w:pStyle w:val="Header"/>
    </w:pPr>
    <w:proofErr w:type="spellStart"/>
    <w:r>
      <w:t>Enr</w:t>
    </w:r>
    <w:proofErr w:type="spellEnd"/>
    <w:r w:rsidR="00AB1770">
      <w:t xml:space="preserve"> </w:t>
    </w:r>
    <w:r>
      <w:t xml:space="preserve">CS for HB </w:t>
    </w:r>
    <w:r w:rsidR="00895337">
      <w:t>4067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2D0B"/>
    <w:rsid w:val="0010070F"/>
    <w:rsid w:val="00114C35"/>
    <w:rsid w:val="0015112E"/>
    <w:rsid w:val="001552E7"/>
    <w:rsid w:val="001566B4"/>
    <w:rsid w:val="00191A28"/>
    <w:rsid w:val="001B693D"/>
    <w:rsid w:val="001B78A1"/>
    <w:rsid w:val="001C279E"/>
    <w:rsid w:val="001D459E"/>
    <w:rsid w:val="002010BF"/>
    <w:rsid w:val="002123A8"/>
    <w:rsid w:val="0023558F"/>
    <w:rsid w:val="0027011C"/>
    <w:rsid w:val="00271BF9"/>
    <w:rsid w:val="00274200"/>
    <w:rsid w:val="00275740"/>
    <w:rsid w:val="002A0269"/>
    <w:rsid w:val="00301F44"/>
    <w:rsid w:val="00303684"/>
    <w:rsid w:val="003143F5"/>
    <w:rsid w:val="00314854"/>
    <w:rsid w:val="00331B5A"/>
    <w:rsid w:val="0039064E"/>
    <w:rsid w:val="003C51CD"/>
    <w:rsid w:val="00415C2A"/>
    <w:rsid w:val="004247A2"/>
    <w:rsid w:val="00463607"/>
    <w:rsid w:val="00471247"/>
    <w:rsid w:val="004A376A"/>
    <w:rsid w:val="004B2795"/>
    <w:rsid w:val="004C13DD"/>
    <w:rsid w:val="004D48E2"/>
    <w:rsid w:val="004E3441"/>
    <w:rsid w:val="00562810"/>
    <w:rsid w:val="005A5366"/>
    <w:rsid w:val="005A616F"/>
    <w:rsid w:val="005F5BA1"/>
    <w:rsid w:val="00637A71"/>
    <w:rsid w:val="00637E73"/>
    <w:rsid w:val="00642951"/>
    <w:rsid w:val="0067556C"/>
    <w:rsid w:val="006865E9"/>
    <w:rsid w:val="00691F3E"/>
    <w:rsid w:val="00694BFB"/>
    <w:rsid w:val="006A106B"/>
    <w:rsid w:val="006C523D"/>
    <w:rsid w:val="006D4036"/>
    <w:rsid w:val="006E4C3B"/>
    <w:rsid w:val="006F3DBB"/>
    <w:rsid w:val="0070502F"/>
    <w:rsid w:val="00781AB0"/>
    <w:rsid w:val="007C52FC"/>
    <w:rsid w:val="007D6D39"/>
    <w:rsid w:val="007E02CF"/>
    <w:rsid w:val="007F1CF5"/>
    <w:rsid w:val="00834EDE"/>
    <w:rsid w:val="00847E5A"/>
    <w:rsid w:val="008736AA"/>
    <w:rsid w:val="00895337"/>
    <w:rsid w:val="008D275D"/>
    <w:rsid w:val="009318F8"/>
    <w:rsid w:val="009403D7"/>
    <w:rsid w:val="00954B98"/>
    <w:rsid w:val="00980327"/>
    <w:rsid w:val="009C1A20"/>
    <w:rsid w:val="009C1EA5"/>
    <w:rsid w:val="009D1804"/>
    <w:rsid w:val="009F1067"/>
    <w:rsid w:val="00A13317"/>
    <w:rsid w:val="00A14157"/>
    <w:rsid w:val="00A31E01"/>
    <w:rsid w:val="00A527AD"/>
    <w:rsid w:val="00A60BDB"/>
    <w:rsid w:val="00A718CF"/>
    <w:rsid w:val="00A72E7C"/>
    <w:rsid w:val="00A73659"/>
    <w:rsid w:val="00AB1770"/>
    <w:rsid w:val="00AC3B58"/>
    <w:rsid w:val="00AE48A0"/>
    <w:rsid w:val="00AE61BE"/>
    <w:rsid w:val="00B16F25"/>
    <w:rsid w:val="00B24422"/>
    <w:rsid w:val="00B53FF7"/>
    <w:rsid w:val="00B80C20"/>
    <w:rsid w:val="00B844FE"/>
    <w:rsid w:val="00BB5737"/>
    <w:rsid w:val="00BC562B"/>
    <w:rsid w:val="00BD540A"/>
    <w:rsid w:val="00C26F1E"/>
    <w:rsid w:val="00C33014"/>
    <w:rsid w:val="00C33434"/>
    <w:rsid w:val="00C34869"/>
    <w:rsid w:val="00C42EB6"/>
    <w:rsid w:val="00C679C6"/>
    <w:rsid w:val="00C70E01"/>
    <w:rsid w:val="00C85096"/>
    <w:rsid w:val="00CB20EF"/>
    <w:rsid w:val="00CC2429"/>
    <w:rsid w:val="00CD12CB"/>
    <w:rsid w:val="00CD36CF"/>
    <w:rsid w:val="00CF1DCA"/>
    <w:rsid w:val="00D27498"/>
    <w:rsid w:val="00D579FC"/>
    <w:rsid w:val="00D95E3E"/>
    <w:rsid w:val="00DE526B"/>
    <w:rsid w:val="00DF199D"/>
    <w:rsid w:val="00E01542"/>
    <w:rsid w:val="00E15FDD"/>
    <w:rsid w:val="00E365F1"/>
    <w:rsid w:val="00E62F48"/>
    <w:rsid w:val="00E831B3"/>
    <w:rsid w:val="00EB203E"/>
    <w:rsid w:val="00EE70CB"/>
    <w:rsid w:val="00F23775"/>
    <w:rsid w:val="00F41CA2"/>
    <w:rsid w:val="00F443C0"/>
    <w:rsid w:val="00F62EFB"/>
    <w:rsid w:val="00F939A4"/>
    <w:rsid w:val="00FA7B09"/>
    <w:rsid w:val="00FB18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24829BF7-4BA2-461C-9BCD-65866950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47E5A"/>
    <w:rPr>
      <w:rFonts w:eastAsia="Calibri"/>
      <w:b/>
      <w:caps/>
      <w:color w:val="000000"/>
      <w:sz w:val="24"/>
    </w:rPr>
  </w:style>
  <w:style w:type="character" w:customStyle="1" w:styleId="SectionHeadingChar">
    <w:name w:val="Section Heading Char"/>
    <w:link w:val="SectionHeading"/>
    <w:rsid w:val="00847E5A"/>
    <w:rPr>
      <w:rFonts w:eastAsia="Calibri"/>
      <w:b/>
      <w:color w:val="000000"/>
    </w:rPr>
  </w:style>
  <w:style w:type="character" w:customStyle="1" w:styleId="SectionBodyChar">
    <w:name w:val="Section Body Char"/>
    <w:link w:val="SectionBody"/>
    <w:rsid w:val="00847E5A"/>
    <w:rPr>
      <w:rFonts w:eastAsia="Calibri"/>
      <w:color w:val="000000"/>
    </w:rPr>
  </w:style>
  <w:style w:type="character" w:styleId="Hyperlink">
    <w:name w:val="Hyperlink"/>
    <w:basedOn w:val="DefaultParagraphFont"/>
    <w:uiPriority w:val="99"/>
    <w:semiHidden/>
    <w:unhideWhenUsed/>
    <w:locked/>
    <w:rsid w:val="00847E5A"/>
    <w:rPr>
      <w:color w:val="0000FF"/>
      <w:u w:val="single"/>
    </w:rPr>
  </w:style>
  <w:style w:type="character" w:styleId="PageNumber">
    <w:name w:val="page number"/>
    <w:basedOn w:val="DefaultParagraphFont"/>
    <w:uiPriority w:val="99"/>
    <w:semiHidden/>
    <w:locked/>
    <w:rsid w:val="0084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s://www.wvlegislature.gov/wvcode/ChapterEntire.cfm?chap=22A&amp;art=6&amp;section=11" TargetMode="External"/><Relationship Id="rId33" Type="http://schemas.openxmlformats.org/officeDocument/2006/relationships/footer" Target="footer19.xml"/><Relationship Id="rId3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18.xm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yperlink" Target="https://www.wvlegislature.gov/wvcode/ChapterEntire.cfm?chap=22A&amp;art=6&amp;section=12" TargetMode="External"/><Relationship Id="rId36"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yperlink" Target="https://www.wvlegislature.gov/wvcode/ChapterEntire.cfm?chap=22A&amp;art=6&amp;section=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https://www.wvlegislature.gov/wvcode/ChapterEntire.cfm?chap=22A&amp;art=6&amp;section=11" TargetMode="External"/><Relationship Id="rId30" Type="http://schemas.openxmlformats.org/officeDocument/2006/relationships/hyperlink" Target="https://www.wvlegislature.gov/wvcode/ChapterEntire.cfm?chap=22A&amp;art=6&amp;section=11" TargetMode="External"/><Relationship Id="rId35" Type="http://schemas.openxmlformats.org/officeDocument/2006/relationships/footer" Target="footer2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D5032"/>
    <w:rsid w:val="0071631A"/>
    <w:rsid w:val="007E0E82"/>
    <w:rsid w:val="00A17B27"/>
    <w:rsid w:val="00A36AC3"/>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1631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3655</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15</cp:revision>
  <dcterms:created xsi:type="dcterms:W3CDTF">2022-02-15T20:23:00Z</dcterms:created>
  <dcterms:modified xsi:type="dcterms:W3CDTF">2022-02-15T23:17:00Z</dcterms:modified>
</cp:coreProperties>
</file>